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jc w:val="center"/>
      </w:pPr>
      <w:r>
        <w:drawing>
          <wp:anchor simplePos="false" relativeHeight="0" behindDoc="false" locked="false" layoutInCell="true" allowOverlap="true">
            <wp:simplePos x="0" y="0"/>
            <wp:positionH relativeFrom="page">
              <wp:posOffset>0</wp:posOffset>
            </wp:positionH>
            <wp:positionV relativeFrom="page">
              <wp:posOffset>0</wp:posOffset>
            </wp:positionV>
            <wp:extent cx="7562850" cy="918886"/>
            <wp:wrapTopAndBottom/>
            <wp:docPr id="0" name="Drawing 0" descr="770285406d9bce004137b169997b9543.png"/>
            <wp:cNvGraphicFramePr>
              <a:graphicFrameLocks noChangeAspect="true"/>
            </wp:cNvGraphicFramePr>
            <a:graphic>
              <a:graphicData uri="http://schemas.openxmlformats.org/drawingml/2006/picture">
                <pic:pic xmlns:pic="http://schemas.openxmlformats.org/drawingml/2006/picture">
                  <pic:nvPicPr>
                    <pic:cNvPr id="0" name="Picture 0" descr="770285406d9bce004137b169997b9543.png"/>
                    <pic:cNvPicPr>
                      <a:picLocks noChangeAspect="true"/>
                    </pic:cNvPicPr>
                  </pic:nvPicPr>
                  <pic:blipFill>
                    <a:blip r:embed="rId3"/>
                    <a:stretch>
                      <a:fillRect/>
                    </a:stretch>
                  </pic:blipFill>
                  <pic:spPr>
                    <a:xfrm>
                      <a:off x="0" y="0"/>
                      <a:ext cx="7562850" cy="918886"/>
                    </a:xfrm>
                    <a:prstGeom prst="rect">
                      <a:avLst/>
                    </a:prstGeom>
                  </pic:spPr>
                </pic:pic>
              </a:graphicData>
            </a:graphic>
          </wp:anchor>
        </w:drawing>
      </w:r>
    </w:p>
    <w:p>
      <w:pPr>
        <w:spacing w:after="120" w:before="120" w:line="336" w:lineRule="auto"/>
        <w:ind w:firstLine="0" w:start="0"/>
        <w:jc w:val="start"/>
      </w:pPr>
      <w:r>
        <w:rPr>
          <w:rFonts w:ascii="Nunito Sans" w:hAnsi="Nunito Sans" w:cs="Nunito Sans" w:eastAsia="Nunito Sans"/>
          <w:color w:val="000000"/>
          <w:spacing w:val="-15"/>
          <w:sz w:val="24"/>
          <w:szCs w:val="24"/>
        </w:rPr>
        <w:t xml:space="preserve">Appendix A  will provide definitions for the static data fields for a REC generator registration. The tables below are organized by their respective tabs in the M-RETS generator registration interface. 
</w:t>
      </w:r>
    </w:p>
    <w:p>
      <w:pPr>
        <w:spacing w:after="120" w:before="120" w:line="336" w:lineRule="auto"/>
        <w:ind w:firstLine="0" w:start="0"/>
        <w:jc w:val="start"/>
      </w:pPr>
      <w:r>
        <w:rPr>
          <w:rFonts w:ascii="Nunito Sans" w:hAnsi="Nunito Sans" w:cs="Nunito Sans" w:eastAsia="Nunito Sans"/>
          <w:color w:val="000000"/>
          <w:spacing w:val="-15"/>
          <w:sz w:val="24"/>
          <w:szCs w:val="24"/>
        </w:rPr>
        <w:t xml:space="preserve">Required fields are indicated with an asterisk * 
</w:t>
      </w:r>
    </w:p>
    <w:p>
      <w:pPr>
        <w:spacing w:after="120" w:before="120" w:line="336" w:lineRule="auto"/>
        <w:ind w:firstLine="0" w:start="0"/>
        <w:jc w:val="start"/>
      </w:pPr>
      <w:r>
        <w:rPr>
          <w:rFonts w:ascii="Nunito Sans" w:hAnsi="Nunito Sans" w:cs="Nunito Sans" w:eastAsia="Nunito Sans"/>
          <w:color w:val="000000"/>
          <w:spacing w:val="-26"/>
          <w:sz w:val="40"/>
          <w:szCs w:val="40"/>
        </w:rPr>
        <w:t xml:space="preserve">General Tab
</w:t>
      </w:r>
    </w:p>
    <w:tbl>
      <w:tblPr>
        <w:tblW w:w="9030" w:type="dxa"/>
        <w:tblBorders>
          <w:top w:val="single" w:color="000000" w:sz="18"/>
          <w:start w:color="000000" w:sz="18" w:val="single"/>
          <w:left w:val="single"/>
          <w:bottom w:val="single" w:color="000000" w:sz="18"/>
          <w:end w:color="000000" w:sz="18" w:val="single"/>
          <w:right w:val="single"/>
          <w:insideH w:val="single" w:color="000000" w:sz="18"/>
          <w:insideV w:val="single" w:color="000000" w:sz="18"/>
        </w:tblBorders>
      </w:tblPr>
      <w:tblGrid>
        <w:gridCol w:w="2193"/>
        <w:gridCol w:w="6836"/>
      </w:tblGrid>
      <w:tr>
        <w:tc>
          <w:tcPr>
            <w:tcW w:w="9030" w:type="dxa"/>
            <w:gridSpan w:val="2"/>
            <w:shd w:val="clear" w:color="auto" w:fill="d9d9d9"/>
            <w:tcMar>
              <w:top w:w="75"/>
              <w:start w:w="75"/>
              <w:bottom w:w="75"/>
              <w:end w:w="75"/>
            </w:tcMar>
          </w:tcPr>
          <w:p>
            <w:pPr>
              <w:spacing w:after="120" w:before="120" w:line="286" w:lineRule="auto"/>
              <w:ind w:firstLine="0" w:start="0"/>
              <w:jc w:val="center"/>
            </w:pPr>
            <w:r>
              <w:rPr>
                <w:rFonts w:ascii="Nunito Sans Bold Italics" w:hAnsi="Nunito Sans Bold Italics" w:cs="Nunito Sans Bold Italics" w:eastAsia="Nunito Sans Bold Italics"/>
                <w:b/>
                <w:bCs/>
                <w:i/>
                <w:iCs/>
                <w:color w:val="000000"/>
                <w:sz w:val="28"/>
                <w:szCs w:val="28"/>
              </w:rPr>
              <w:t>General Information</w:t>
            </w:r>
            <w:r>
              <w:rPr>
                <w:rFonts w:ascii="Nunito Sans Bold Italics" w:hAnsi="Nunito Sans Bold Italics" w:cs="Nunito Sans Bold Italics" w:eastAsia="Nunito Sans Bold Italics"/>
                <w:b/>
                <w:bCs/>
                <w:i/>
                <w:iCs/>
                <w:color w:val="000000"/>
                <w:sz w:val="28"/>
                <w:szCs w:val="28"/>
              </w:rPr>
              <w:t xml:space="preserve">
</w:t>
            </w:r>
          </w:p>
        </w:tc>
      </w:tr>
      <w:tr>
        <w:tc>
          <w:tcPr>
            <w:tcW w:w="2193" w:type="dxa"/>
            <w:shd w:val="clear" w:color="auto" w:fill="77b2f4"/>
            <w:tcMar>
              <w:top w:w="75"/>
              <w:start w:w="75"/>
              <w:bottom w:w="75"/>
              <w:end w:w="75"/>
            </w:tcMar>
          </w:tcPr>
          <w:p>
            <w:pPr>
              <w:spacing w:after="120" w:before="120" w:line="286" w:lineRule="auto"/>
              <w:ind w:firstLine="0" w:start="0"/>
              <w:jc w:val="center"/>
            </w:pPr>
            <w:r>
              <w:rPr>
                <w:rFonts w:ascii="Nunito Sans Italics" w:hAnsi="Nunito Sans Italics" w:cs="Nunito Sans Italics" w:eastAsia="Nunito Sans Italics"/>
                <w:i/>
                <w:iCs/>
                <w:color w:val="000000"/>
                <w:sz w:val="28"/>
                <w:szCs w:val="28"/>
              </w:rPr>
              <w:t>Facility Name*</w:t>
            </w:r>
            <w:r>
              <w:rPr>
                <w:rFonts w:ascii="Nunito Sans Italics" w:hAnsi="Nunito Sans Italics" w:cs="Nunito Sans Italics" w:eastAsia="Nunito Sans Italics"/>
                <w:i/>
                <w:iCs/>
                <w:color w:val="000000"/>
                <w:sz w:val="28"/>
                <w:szCs w:val="28"/>
              </w:rPr>
              <w:t xml:space="preserve">
</w:t>
            </w:r>
          </w:p>
        </w:tc>
        <w:tc>
          <w:tcPr>
            <w:tcW w:w="6836" w:type="dxa"/>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 xml:space="preserve">Name of the facility. </w:t>
            </w:r>
            <w:r>
              <w:rPr>
                <w:rFonts w:ascii="Nunito Sans" w:hAnsi="Nunito Sans" w:cs="Nunito Sans" w:eastAsia="Nunito Sans"/>
                <w:color w:val="000000"/>
                <w:sz w:val="28"/>
                <w:szCs w:val="28"/>
              </w:rPr>
              <w:t xml:space="preserve">
</w:t>
            </w:r>
          </w:p>
        </w:tc>
      </w:tr>
      <w:tr>
        <w:tc>
          <w:tcPr>
            <w:tcW w:w="2193" w:type="dxa"/>
            <w:shd w:val="clear" w:color="auto" w:fill="77b2f4"/>
            <w:tcMar>
              <w:top w:w="75"/>
              <w:start w:w="75"/>
              <w:bottom w:w="75"/>
              <w:end w:w="75"/>
            </w:tcMar>
          </w:tcPr>
          <w:p>
            <w:pPr>
              <w:spacing w:after="120" w:before="120" w:line="286" w:lineRule="auto"/>
              <w:ind w:firstLine="0" w:start="0"/>
              <w:jc w:val="center"/>
            </w:pPr>
            <w:r>
              <w:rPr>
                <w:rFonts w:ascii="Nunito Sans Italics" w:hAnsi="Nunito Sans Italics" w:cs="Nunito Sans Italics" w:eastAsia="Nunito Sans Italics"/>
                <w:i/>
                <w:iCs/>
                <w:color w:val="000000"/>
                <w:sz w:val="28"/>
                <w:szCs w:val="28"/>
              </w:rPr>
              <w:t xml:space="preserve">Unit Name*
</w:t>
            </w:r>
          </w:p>
        </w:tc>
        <w:tc>
          <w:tcPr>
            <w:tcW w:w="6836" w:type="dxa"/>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Name of the unit that is being registered as part of the overall facility registration. (e.g: Facility Name: Hoover Dam, Unit Name: Hoover Dam Unit 1).</w:t>
            </w:r>
            <w:r>
              <w:rPr>
                <w:rFonts w:ascii="Nunito Sans" w:hAnsi="Nunito Sans" w:cs="Nunito Sans" w:eastAsia="Nunito Sans"/>
                <w:color w:val="000000"/>
                <w:sz w:val="28"/>
                <w:szCs w:val="28"/>
              </w:rPr>
              <w:t xml:space="preserve">
</w:t>
            </w:r>
          </w:p>
        </w:tc>
      </w:tr>
      <w:tr>
        <w:tc>
          <w:tcPr>
            <w:tcW w:w="2193" w:type="dxa"/>
            <w:shd w:val="clear" w:color="auto" w:fill="77b2f4"/>
            <w:tcMar>
              <w:top w:w="75"/>
              <w:start w:w="75"/>
              <w:bottom w:w="75"/>
              <w:end w:w="75"/>
            </w:tcMar>
          </w:tcPr>
          <w:p>
            <w:pPr>
              <w:spacing w:after="120" w:before="120" w:line="286" w:lineRule="auto"/>
              <w:ind w:firstLine="0" w:start="0"/>
              <w:jc w:val="center"/>
            </w:pPr>
            <w:r>
              <w:rPr>
                <w:rFonts w:ascii="Nunito Sans Italics" w:hAnsi="Nunito Sans Italics" w:cs="Nunito Sans Italics" w:eastAsia="Nunito Sans Italics"/>
                <w:i/>
                <w:iCs/>
                <w:color w:val="000000"/>
                <w:sz w:val="28"/>
                <w:szCs w:val="28"/>
              </w:rPr>
              <w:t xml:space="preserve">EIA Number 
</w:t>
            </w:r>
          </w:p>
        </w:tc>
        <w:tc>
          <w:tcPr>
            <w:tcW w:w="6836" w:type="dxa"/>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 xml:space="preserve">The </w:t>
            </w:r>
            <w:hyperlink r:id="rId4">
              <w:r>
                <w:rPr>
                  <w:rFonts w:ascii="Nunito Sans Bold" w:hAnsi="Nunito Sans Bold" w:cs="Nunito Sans Bold" w:eastAsia="Nunito Sans Bold"/>
                  <w:b/>
                  <w:bCs/>
                  <w:color w:val="1a62ff"/>
                  <w:sz w:val="28"/>
                  <w:szCs w:val="28"/>
                  <w:u w:val="single" w:color="1a62ff"/>
                </w:rPr>
                <w:t>EIA</w:t>
              </w:r>
            </w:hyperlink>
            <w:r>
              <w:rPr>
                <w:rFonts w:ascii="Nunito Sans Bold" w:hAnsi="Nunito Sans Bold" w:cs="Nunito Sans Bold" w:eastAsia="Nunito Sans Bold"/>
                <w:b/>
                <w:bCs/>
                <w:color w:val="000000"/>
                <w:sz w:val="28"/>
                <w:szCs w:val="28"/>
              </w:rPr>
              <w:t xml:space="preserve"> plant ID</w:t>
            </w:r>
            <w:r>
              <w:rPr>
                <w:rFonts w:ascii="Nunito Sans" w:hAnsi="Nunito Sans" w:cs="Nunito Sans" w:eastAsia="Nunito Sans"/>
                <w:color w:val="000000"/>
                <w:sz w:val="28"/>
                <w:szCs w:val="28"/>
              </w:rPr>
              <w:t xml:space="preserve"> (only assigned to generators that are above 1 MW in nameplate capacity).
</w:t>
            </w:r>
          </w:p>
        </w:tc>
      </w:tr>
      <w:tr>
        <w:tc>
          <w:tcPr>
            <w:tcW w:w="2193" w:type="dxa"/>
            <w:shd w:val="clear" w:color="auto" w:fill="77b2f4"/>
            <w:tcMar>
              <w:top w:w="75"/>
              <w:start w:w="75"/>
              <w:bottom w:w="75"/>
              <w:end w:w="75"/>
            </w:tcMar>
          </w:tcPr>
          <w:p>
            <w:pPr>
              <w:spacing w:after="120" w:before="120" w:line="286" w:lineRule="auto"/>
              <w:ind w:firstLine="0" w:start="0"/>
              <w:jc w:val="center"/>
            </w:pPr>
            <w:r>
              <w:rPr>
                <w:rFonts w:ascii="Nunito Sans Italics" w:hAnsi="Nunito Sans Italics" w:cs="Nunito Sans Italics" w:eastAsia="Nunito Sans Italics"/>
                <w:i/>
                <w:iCs/>
                <w:color w:val="000000"/>
                <w:sz w:val="28"/>
                <w:szCs w:val="28"/>
              </w:rPr>
              <w:t xml:space="preserve">Qualifying Facility? 
</w:t>
            </w:r>
          </w:p>
        </w:tc>
        <w:tc>
          <w:tcPr>
            <w:tcW w:w="6836" w:type="dxa"/>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 xml:space="preserve">Yes: The facility is a qualifying facility under </w:t>
            </w:r>
            <w:hyperlink r:id="rId5">
              <w:r>
                <w:rPr>
                  <w:u w:val="single" w:color="1B62ff"/>
                  <w:color w:val="000000"/>
                  <w:rFonts w:ascii="Nunito Sans" w:hAnsi="Nunito Sans" w:cs="Nunito Sans" w:eastAsia="Nunito Sans"/>
                  <w:sz w:val="28"/>
                  <w:szCs w:val="28"/>
                </w:rPr>
                <w:t>PURPA Qualifying Facilities</w:t>
              </w:r>
            </w:hyperlink>
            <w:r>
              <w:rPr>
                <w:rFonts w:ascii="Nunito Sans" w:hAnsi="Nunito Sans" w:cs="Nunito Sans" w:eastAsia="Nunito Sans"/>
                <w:color w:val="000000"/>
                <w:sz w:val="28"/>
                <w:szCs w:val="28"/>
              </w:rPr>
              <w:t xml:space="preserve">.
</w:t>
            </w:r>
          </w:p>
          <w:p>
            <w:pPr>
              <w:spacing w:after="120" w:before="120" w:line="286" w:lineRule="auto"/>
              <w:ind w:firstLine="0" w:start="0"/>
              <w:jc w:val="start"/>
            </w:pPr>
            <w:r>
              <w:rPr>
                <w:rFonts w:ascii="Nunito Sans" w:hAnsi="Nunito Sans" w:cs="Nunito Sans" w:eastAsia="Nunito Sans"/>
                <w:color w:val="000000"/>
                <w:sz w:val="28"/>
                <w:szCs w:val="28"/>
              </w:rPr>
              <w:t xml:space="preserve">No: The facility is not approved as a qualifying facility.
</w:t>
            </w:r>
          </w:p>
        </w:tc>
      </w:tr>
      <w:tr>
        <w:tc>
          <w:tcPr>
            <w:tcW w:w="2193" w:type="dxa"/>
            <w:shd w:val="clear" w:color="auto" w:fill="77b2f4"/>
            <w:tcMar>
              <w:top w:w="75"/>
              <w:start w:w="75"/>
              <w:bottom w:w="75"/>
              <w:end w:w="75"/>
            </w:tcMar>
          </w:tcPr>
          <w:p>
            <w:pPr>
              <w:spacing w:after="120" w:before="120" w:line="286" w:lineRule="auto"/>
              <w:ind w:firstLine="0" w:start="0"/>
              <w:jc w:val="center"/>
            </w:pPr>
            <w:r>
              <w:rPr>
                <w:rFonts w:ascii="Nunito Sans Italics" w:hAnsi="Nunito Sans Italics" w:cs="Nunito Sans Italics" w:eastAsia="Nunito Sans Italics"/>
                <w:i/>
                <w:iCs/>
                <w:color w:val="000000"/>
                <w:sz w:val="28"/>
                <w:szCs w:val="28"/>
              </w:rPr>
              <w:t xml:space="preserve">Qualifying Facility ID
</w:t>
            </w:r>
          </w:p>
        </w:tc>
        <w:tc>
          <w:tcPr>
            <w:tcW w:w="6836" w:type="dxa"/>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 xml:space="preserve">The qualifying facility ID assigned by NERC.
</w:t>
            </w:r>
          </w:p>
        </w:tc>
      </w:tr>
      <w:tr>
        <w:tc>
          <w:tcPr>
            <w:tcW w:w="9030" w:type="dxa"/>
            <w:gridSpan w:val="2"/>
            <w:shd w:val="clear" w:color="auto" w:fill="d9d9d9"/>
            <w:tcMar>
              <w:top w:w="75"/>
              <w:start w:w="75"/>
              <w:bottom w:w="75"/>
              <w:end w:w="75"/>
            </w:tcMar>
          </w:tcPr>
          <w:p>
            <w:pPr>
              <w:spacing w:after="120" w:before="120" w:line="286" w:lineRule="auto"/>
              <w:ind w:firstLine="0" w:start="0"/>
              <w:jc w:val="center"/>
            </w:pPr>
            <w:r>
              <w:rPr>
                <w:rFonts w:ascii="Nunito Sans Bold Italics" w:hAnsi="Nunito Sans Bold Italics" w:cs="Nunito Sans Bold Italics" w:eastAsia="Nunito Sans Bold Italics"/>
                <w:b/>
                <w:bCs/>
                <w:i/>
                <w:iCs/>
                <w:color w:val="000000"/>
                <w:sz w:val="28"/>
                <w:szCs w:val="28"/>
              </w:rPr>
              <w:t>Location</w:t>
            </w:r>
            <w:r>
              <w:rPr>
                <w:rFonts w:ascii="Nunito Sans Bold Italics" w:hAnsi="Nunito Sans Bold Italics" w:cs="Nunito Sans Bold Italics" w:eastAsia="Nunito Sans Bold Italics"/>
                <w:b/>
                <w:bCs/>
                <w:i/>
                <w:iCs/>
                <w:color w:val="000000"/>
                <w:sz w:val="28"/>
                <w:szCs w:val="28"/>
              </w:rPr>
              <w:t xml:space="preserve">
</w:t>
            </w:r>
          </w:p>
        </w:tc>
      </w:tr>
      <w:tr>
        <w:tc>
          <w:tcPr>
            <w:tcW w:w="2193" w:type="dxa"/>
            <w:tcBorders>
              <w:bottom w:color="000000" w:sz="12" w:val="single"/>
            </w:tcBorders>
            <w:shd w:val="clear" w:color="auto" w:fill="77b2f4"/>
            <w:tcMar>
              <w:top w:w="75"/>
              <w:start w:w="75"/>
              <w:bottom w:w="75"/>
              <w:end w:w="75"/>
            </w:tcMar>
          </w:tcPr>
          <w:p>
            <w:pPr>
              <w:spacing w:after="120" w:before="120" w:line="286" w:lineRule="auto"/>
              <w:ind w:firstLine="0" w:start="0"/>
              <w:jc w:val="center"/>
            </w:pPr>
            <w:r>
              <w:rPr>
                <w:rFonts w:ascii="Nunito Sans Italics" w:hAnsi="Nunito Sans Italics" w:cs="Nunito Sans Italics" w:eastAsia="Nunito Sans Italics"/>
                <w:i/>
                <w:iCs/>
                <w:color w:val="000000"/>
                <w:sz w:val="28"/>
                <w:szCs w:val="28"/>
              </w:rPr>
              <w:t>Country*</w:t>
            </w:r>
            <w:r>
              <w:rPr>
                <w:rFonts w:ascii="Nunito Sans Italics" w:hAnsi="Nunito Sans Italics" w:cs="Nunito Sans Italics" w:eastAsia="Nunito Sans Italics"/>
                <w:i/>
                <w:iCs/>
                <w:color w:val="000000"/>
                <w:sz w:val="28"/>
                <w:szCs w:val="28"/>
              </w:rPr>
              <w:t xml:space="preserve">
</w:t>
            </w:r>
          </w:p>
        </w:tc>
        <w:tc>
          <w:tcPr>
            <w:tcW w:w="6836" w:type="dxa"/>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Country where the facility is located.</w:t>
            </w:r>
            <w:r>
              <w:rPr>
                <w:rFonts w:ascii="Nunito Sans" w:hAnsi="Nunito Sans" w:cs="Nunito Sans" w:eastAsia="Nunito Sans"/>
                <w:color w:val="000000"/>
                <w:sz w:val="28"/>
                <w:szCs w:val="28"/>
              </w:rPr>
              <w:t xml:space="preserve">
</w:t>
            </w:r>
          </w:p>
        </w:tc>
      </w:tr>
      <w:tr>
        <w:tc>
          <w:tcPr>
            <w:tcW w:w="2193" w:type="dxa"/>
            <w:tcBorders>
              <w:top w:color="000000" w:sz="12" w:val="single"/>
              <w:bottom w:color="000000" w:sz="12" w:val="single"/>
            </w:tcBorders>
            <w:shd w:val="clear" w:color="auto" w:fill="77b2f4"/>
            <w:tcMar>
              <w:top w:w="75"/>
              <w:start w:w="75"/>
              <w:bottom w:w="75"/>
              <w:end w:w="75"/>
            </w:tcMar>
          </w:tcPr>
          <w:p>
            <w:pPr>
              <w:spacing w:after="120" w:before="120" w:line="286" w:lineRule="auto"/>
              <w:ind w:firstLine="0" w:start="0"/>
              <w:jc w:val="center"/>
            </w:pPr>
            <w:r>
              <w:rPr>
                <w:rFonts w:ascii="Nunito Sans Italics" w:hAnsi="Nunito Sans Italics" w:cs="Nunito Sans Italics" w:eastAsia="Nunito Sans Italics"/>
                <w:i/>
                <w:iCs/>
                <w:color w:val="000000"/>
                <w:sz w:val="28"/>
                <w:szCs w:val="28"/>
              </w:rPr>
              <w:t>State or Province*</w:t>
            </w:r>
            <w:r>
              <w:rPr>
                <w:rFonts w:ascii="Nunito Sans Italics" w:hAnsi="Nunito Sans Italics" w:cs="Nunito Sans Italics" w:eastAsia="Nunito Sans Italics"/>
                <w:i/>
                <w:iCs/>
                <w:color w:val="000000"/>
                <w:sz w:val="28"/>
                <w:szCs w:val="28"/>
              </w:rPr>
              <w:t xml:space="preserve">
</w:t>
            </w:r>
          </w:p>
        </w:tc>
        <w:tc>
          <w:tcPr>
            <w:tcW w:w="6836" w:type="dxa"/>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State or Province where</w:t>
            </w:r>
            <w:r>
              <w:rPr>
                <w:rFonts w:ascii="Nunito Sans" w:hAnsi="Nunito Sans" w:cs="Nunito Sans" w:eastAsia="Nunito Sans"/>
                <w:color w:val="000000"/>
                <w:sz w:val="28"/>
                <w:szCs w:val="28"/>
              </w:rPr>
              <w:t xml:space="preserve"> the</w:t>
            </w:r>
            <w:r>
              <w:rPr>
                <w:rFonts w:ascii="Nunito Sans" w:hAnsi="Nunito Sans" w:cs="Nunito Sans" w:eastAsia="Nunito Sans"/>
                <w:color w:val="000000"/>
                <w:sz w:val="28"/>
                <w:szCs w:val="28"/>
              </w:rPr>
              <w:t xml:space="preserve"> </w:t>
            </w:r>
            <w:r>
              <w:rPr>
                <w:rFonts w:ascii="Nunito Sans" w:hAnsi="Nunito Sans" w:cs="Nunito Sans" w:eastAsia="Nunito Sans"/>
                <w:color w:val="000000"/>
                <w:sz w:val="28"/>
                <w:szCs w:val="28"/>
              </w:rPr>
              <w:t>facility</w:t>
            </w:r>
            <w:r>
              <w:rPr>
                <w:rFonts w:ascii="Nunito Sans" w:hAnsi="Nunito Sans" w:cs="Nunito Sans" w:eastAsia="Nunito Sans"/>
                <w:color w:val="000000"/>
                <w:sz w:val="28"/>
                <w:szCs w:val="28"/>
              </w:rPr>
              <w:t xml:space="preserve"> is located</w:t>
            </w:r>
            <w:r>
              <w:rPr>
                <w:rFonts w:ascii="Nunito Sans" w:hAnsi="Nunito Sans" w:cs="Nunito Sans" w:eastAsia="Nunito Sans"/>
                <w:color w:val="000000"/>
                <w:sz w:val="28"/>
                <w:szCs w:val="28"/>
              </w:rPr>
              <w:t>.</w:t>
            </w:r>
            <w:r>
              <w:rPr>
                <w:rFonts w:ascii="Nunito Sans" w:hAnsi="Nunito Sans" w:cs="Nunito Sans" w:eastAsia="Nunito Sans"/>
                <w:color w:val="000000"/>
                <w:sz w:val="28"/>
                <w:szCs w:val="28"/>
              </w:rPr>
              <w:t xml:space="preserve">
</w:t>
            </w:r>
          </w:p>
        </w:tc>
      </w:tr>
      <w:tr>
        <w:tc>
          <w:tcPr>
            <w:tcW w:w="2193" w:type="dxa"/>
            <w:tcBorders>
              <w:top w:color="000000" w:sz="12" w:val="single"/>
            </w:tcBorders>
            <w:shd w:val="clear" w:color="auto" w:fill="77b2f4"/>
            <w:tcMar>
              <w:top w:w="75"/>
              <w:start w:w="75"/>
              <w:bottom w:w="75"/>
              <w:end w:w="75"/>
            </w:tcMar>
          </w:tcPr>
          <w:p>
            <w:pPr>
              <w:spacing w:after="120" w:before="120" w:line="286" w:lineRule="auto"/>
              <w:ind w:firstLine="0" w:start="0"/>
              <w:jc w:val="center"/>
            </w:pPr>
            <w:r>
              <w:rPr>
                <w:rFonts w:ascii="Nunito Sans Italics" w:hAnsi="Nunito Sans Italics" w:cs="Nunito Sans Italics" w:eastAsia="Nunito Sans Italics"/>
                <w:i/>
                <w:iCs/>
                <w:color w:val="000000"/>
                <w:sz w:val="28"/>
                <w:szCs w:val="28"/>
              </w:rPr>
              <w:t>County or Municipality*</w:t>
            </w:r>
            <w:r>
              <w:rPr>
                <w:rFonts w:ascii="Nunito Sans Italics" w:hAnsi="Nunito Sans Italics" w:cs="Nunito Sans Italics" w:eastAsia="Nunito Sans Italics"/>
                <w:i/>
                <w:iCs/>
                <w:color w:val="000000"/>
                <w:sz w:val="28"/>
                <w:szCs w:val="28"/>
              </w:rPr>
              <w:t xml:space="preserve">
</w:t>
            </w:r>
          </w:p>
        </w:tc>
        <w:tc>
          <w:tcPr>
            <w:tcW w:w="6836" w:type="dxa"/>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County where the facility is located.</w:t>
            </w:r>
            <w:r>
              <w:rPr>
                <w:rFonts w:ascii="Nunito Sans" w:hAnsi="Nunito Sans" w:cs="Nunito Sans" w:eastAsia="Nunito Sans"/>
                <w:color w:val="000000"/>
                <w:sz w:val="28"/>
                <w:szCs w:val="28"/>
              </w:rPr>
              <w:t xml:space="preserve">
</w:t>
            </w:r>
          </w:p>
        </w:tc>
      </w:tr>
      <w:tr>
        <w:tc>
          <w:tcPr>
            <w:tcW w:w="2193" w:type="dxa"/>
            <w:shd w:val="clear" w:color="auto" w:fill="77b2f4"/>
            <w:tcMar>
              <w:top w:w="75"/>
              <w:start w:w="75"/>
              <w:bottom w:w="75"/>
              <w:end w:w="75"/>
            </w:tcMar>
          </w:tcPr>
          <w:p>
            <w:pPr>
              <w:spacing w:after="120" w:before="120" w:line="286" w:lineRule="auto"/>
              <w:ind w:firstLine="0" w:start="0"/>
              <w:jc w:val="center"/>
            </w:pPr>
            <w:r>
              <w:rPr>
                <w:rFonts w:ascii="Nunito Sans Italics" w:hAnsi="Nunito Sans Italics" w:cs="Nunito Sans Italics" w:eastAsia="Nunito Sans Italics"/>
                <w:i/>
                <w:iCs/>
                <w:color w:val="000000"/>
                <w:sz w:val="28"/>
                <w:szCs w:val="28"/>
              </w:rPr>
              <w:t>Facility Photo</w:t>
            </w:r>
            <w:r>
              <w:rPr>
                <w:rFonts w:ascii="Nunito Sans Italics" w:hAnsi="Nunito Sans Italics" w:cs="Nunito Sans Italics" w:eastAsia="Nunito Sans Italics"/>
                <w:i/>
                <w:iCs/>
                <w:color w:val="000000"/>
                <w:sz w:val="28"/>
                <w:szCs w:val="28"/>
              </w:rPr>
              <w:t xml:space="preserve">
</w:t>
            </w:r>
          </w:p>
        </w:tc>
        <w:tc>
          <w:tcPr>
            <w:tcW w:w="6836" w:type="dxa"/>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A photo of the facility.</w:t>
            </w:r>
            <w:r>
              <w:rPr>
                <w:rFonts w:ascii="Nunito Sans" w:hAnsi="Nunito Sans" w:cs="Nunito Sans" w:eastAsia="Nunito Sans"/>
                <w:color w:val="000000"/>
                <w:sz w:val="28"/>
                <w:szCs w:val="28"/>
              </w:rPr>
              <w:t xml:space="preserve">
</w:t>
            </w:r>
          </w:p>
        </w:tc>
      </w:tr>
      <w:tr>
        <w:tc>
          <w:tcPr>
            <w:tcW w:w="9030" w:type="dxa"/>
            <w:gridSpan w:val="2"/>
            <w:shd w:val="clear" w:color="auto" w:fill="d9d9d9"/>
            <w:tcMar>
              <w:top w:w="75"/>
              <w:start w:w="75"/>
              <w:bottom w:w="75"/>
              <w:end w:w="75"/>
            </w:tcMar>
          </w:tcPr>
          <w:p>
            <w:pPr>
              <w:spacing w:after="120" w:before="120" w:line="286" w:lineRule="auto"/>
              <w:ind w:firstLine="0" w:start="0"/>
              <w:jc w:val="center"/>
            </w:pPr>
            <w:r>
              <w:rPr>
                <w:rFonts w:ascii="Nunito Sans Bold Italics" w:hAnsi="Nunito Sans Bold Italics" w:cs="Nunito Sans Bold Italics" w:eastAsia="Nunito Sans Bold Italics"/>
                <w:b/>
                <w:bCs/>
                <w:i/>
                <w:iCs/>
                <w:color w:val="000000"/>
                <w:sz w:val="28"/>
                <w:szCs w:val="28"/>
              </w:rPr>
              <w:t>Reporting and Issuance</w:t>
            </w:r>
            <w:r>
              <w:rPr>
                <w:rFonts w:ascii="Nunito Sans Bold Italics" w:hAnsi="Nunito Sans Bold Italics" w:cs="Nunito Sans Bold Italics" w:eastAsia="Nunito Sans Bold Italics"/>
                <w:b/>
                <w:bCs/>
                <w:i/>
                <w:iCs/>
                <w:color w:val="000000"/>
                <w:sz w:val="28"/>
                <w:szCs w:val="28"/>
              </w:rPr>
              <w:t xml:space="preserve">
</w:t>
            </w:r>
          </w:p>
        </w:tc>
      </w:tr>
      <w:tr>
        <w:tc>
          <w:tcPr>
            <w:tcW w:w="2193" w:type="dxa"/>
            <w:shd w:val="clear" w:color="auto" w:fill="77b2f4"/>
            <w:tcMar>
              <w:top w:w="75"/>
              <w:start w:w="75"/>
              <w:bottom w:w="75"/>
              <w:end w:w="75"/>
            </w:tcMar>
          </w:tcPr>
          <w:p>
            <w:pPr>
              <w:spacing w:after="120" w:before="120" w:line="286" w:lineRule="auto"/>
              <w:ind w:firstLine="0" w:start="0"/>
              <w:jc w:val="center"/>
            </w:pPr>
            <w:r>
              <w:rPr>
                <w:rFonts w:ascii="Nunito Sans Italics" w:hAnsi="Nunito Sans Italics" w:cs="Nunito Sans Italics" w:eastAsia="Nunito Sans Italics"/>
                <w:i/>
                <w:iCs/>
                <w:color w:val="000000"/>
                <w:sz w:val="28"/>
                <w:szCs w:val="28"/>
              </w:rPr>
              <w:t>Reporting Entity*</w:t>
            </w:r>
            <w:r>
              <w:rPr>
                <w:rFonts w:ascii="Nunito Sans Italics" w:hAnsi="Nunito Sans Italics" w:cs="Nunito Sans Italics" w:eastAsia="Nunito Sans Italics"/>
                <w:i/>
                <w:iCs/>
                <w:color w:val="000000"/>
                <w:sz w:val="28"/>
                <w:szCs w:val="28"/>
              </w:rPr>
              <w:t xml:space="preserve">
</w:t>
            </w:r>
          </w:p>
        </w:tc>
        <w:tc>
          <w:tcPr>
            <w:tcW w:w="6836" w:type="dxa"/>
            <w:shd w:val="clear" w:color="auto" w:fill="ffffff"/>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 xml:space="preserve">Organization that reports generation data for the Generator. (e.g: Self Reporting, QRE, or MISO and SPP).
</w:t>
            </w:r>
          </w:p>
        </w:tc>
      </w:tr>
      <w:tr>
        <w:tc>
          <w:tcPr>
            <w:tcW w:w="2193" w:type="dxa"/>
            <w:shd w:val="clear" w:color="auto" w:fill="77b2f4"/>
            <w:tcMar>
              <w:top w:w="75"/>
              <w:start w:w="75"/>
              <w:bottom w:w="75"/>
              <w:end w:w="75"/>
            </w:tcMar>
          </w:tcPr>
          <w:p>
            <w:pPr>
              <w:spacing w:after="120" w:before="120" w:line="286" w:lineRule="auto"/>
              <w:ind w:firstLine="0" w:start="0"/>
              <w:jc w:val="center"/>
            </w:pPr>
            <w:r>
              <w:rPr>
                <w:rFonts w:ascii="Nunito Sans Italics" w:hAnsi="Nunito Sans Italics" w:cs="Nunito Sans Italics" w:eastAsia="Nunito Sans Italics"/>
                <w:i/>
                <w:iCs/>
                <w:color w:val="000000"/>
                <w:sz w:val="28"/>
                <w:szCs w:val="28"/>
              </w:rPr>
              <w:t xml:space="preserve">Reporting Unit ID 
</w:t>
            </w:r>
          </w:p>
        </w:tc>
        <w:tc>
          <w:tcPr>
            <w:tcW w:w="6836" w:type="dxa"/>
            <w:shd w:val="clear" w:color="auto" w:fill="ffffff"/>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 xml:space="preserve">RTO Market Settlement Node (MISO &amp; SPP reporting) or user created identifier. 
</w:t>
            </w:r>
          </w:p>
        </w:tc>
      </w:tr>
      <w:tr>
        <w:tc>
          <w:tcPr>
            <w:tcW w:w="2193" w:type="dxa"/>
            <w:shd w:val="clear" w:color="auto" w:fill="77b2f4"/>
            <w:tcMar>
              <w:top w:w="75"/>
              <w:start w:w="75"/>
              <w:bottom w:w="75"/>
              <w:end w:w="75"/>
            </w:tcMar>
          </w:tcPr>
          <w:p>
            <w:pPr>
              <w:spacing w:after="120" w:before="120" w:line="286" w:lineRule="auto"/>
              <w:ind w:firstLine="0" w:start="0"/>
              <w:jc w:val="center"/>
            </w:pPr>
            <w:r>
              <w:rPr>
                <w:rFonts w:ascii="Nunito Sans Italics" w:hAnsi="Nunito Sans Italics" w:cs="Nunito Sans Italics" w:eastAsia="Nunito Sans Italics"/>
                <w:i/>
                <w:iCs/>
                <w:color w:val="000000"/>
                <w:sz w:val="28"/>
                <w:szCs w:val="28"/>
              </w:rPr>
              <w:t>Issuance Account*</w:t>
            </w:r>
            <w:r>
              <w:rPr>
                <w:rFonts w:ascii="Nunito Sans Italics" w:hAnsi="Nunito Sans Italics" w:cs="Nunito Sans Italics" w:eastAsia="Nunito Sans Italics"/>
                <w:i/>
                <w:iCs/>
                <w:color w:val="000000"/>
                <w:sz w:val="28"/>
                <w:szCs w:val="28"/>
              </w:rPr>
              <w:t xml:space="preserve">
</w:t>
            </w:r>
          </w:p>
        </w:tc>
        <w:tc>
          <w:tcPr>
            <w:tcW w:w="6836" w:type="dxa"/>
            <w:shd w:val="clear" w:color="auto" w:fill="ffffff"/>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 xml:space="preserve">Active account that all issued certificates will be deposited. </w:t>
            </w:r>
            <w:r>
              <w:rPr>
                <w:rFonts w:ascii="Nunito Sans" w:hAnsi="Nunito Sans" w:cs="Nunito Sans" w:eastAsia="Nunito Sans"/>
                <w:color w:val="000000"/>
                <w:sz w:val="28"/>
                <w:szCs w:val="28"/>
              </w:rPr>
              <w:t xml:space="preserve">
</w:t>
            </w:r>
          </w:p>
        </w:tc>
      </w:tr>
    </w:tbl>
    <w:p>
      <w:pPr>
        <w:spacing w:after="120" w:before="120" w:line="336" w:lineRule="auto"/>
        <w:ind w:firstLine="0" w:start="0"/>
        <w:jc w:val="start"/>
      </w:pPr>
      <w:r>
        <w:rPr>
          <w:rFonts w:ascii="Nunito Sans" w:hAnsi="Nunito Sans" w:cs="Nunito Sans" w:eastAsia="Nunito Sans"/>
          <w:color w:val="000000"/>
          <w:sz w:val="40"/>
          <w:szCs w:val="40"/>
        </w:rPr>
        <w:t xml:space="preserve">
</w:t>
      </w:r>
    </w:p>
    <w:p>
      <w:pPr>
        <w:spacing w:after="120" w:before="120" w:line="336" w:lineRule="auto"/>
        <w:ind w:firstLine="0" w:start="0"/>
        <w:jc w:val="start"/>
      </w:pPr>
      <w:r>
        <w:rPr>
          <w:rFonts w:ascii="Nunito Sans" w:hAnsi="Nunito Sans" w:cs="Nunito Sans" w:eastAsia="Nunito Sans"/>
          <w:color w:val="000000"/>
          <w:sz w:val="40"/>
          <w:szCs w:val="40"/>
        </w:rPr>
        <w:t xml:space="preserve">Owner Tab
</w:t>
      </w:r>
    </w:p>
    <w:tbl>
      <w:tblPr>
        <w:tblW w:w="9030" w:type="dxa"/>
        <w:tblBorders>
          <w:top w:val="single" w:color="000000" w:sz="18"/>
          <w:start w:color="000000" w:sz="18" w:val="single"/>
          <w:left w:val="single"/>
          <w:bottom w:val="single" w:color="000000" w:sz="18"/>
          <w:end w:color="000000" w:sz="18" w:val="single"/>
          <w:right w:val="single"/>
          <w:insideH w:val="single" w:color="000000" w:sz="18"/>
          <w:insideV w:val="single" w:color="000000" w:sz="18"/>
        </w:tblBorders>
      </w:tblPr>
      <w:tblGrid>
        <w:gridCol w:w="1944"/>
        <w:gridCol w:w="7085"/>
      </w:tblGrid>
      <w:tr>
        <w:tc>
          <w:tcPr>
            <w:tcW w:w="9030" w:type="dxa"/>
            <w:gridSpan w:val="2"/>
            <w:shd w:val="clear" w:color="auto" w:fill="d9d9d9"/>
            <w:tcMar>
              <w:top w:w="75"/>
              <w:start w:w="75"/>
              <w:bottom w:w="75"/>
              <w:end w:w="75"/>
            </w:tcMar>
          </w:tcPr>
          <w:p>
            <w:pPr>
              <w:spacing w:after="120" w:before="120" w:line="286" w:lineRule="auto"/>
              <w:ind w:firstLine="0" w:start="0"/>
              <w:jc w:val="center"/>
            </w:pPr>
            <w:r>
              <w:rPr>
                <w:rFonts w:ascii="Nunito Sans Bold Italics" w:hAnsi="Nunito Sans Bold Italics" w:cs="Nunito Sans Bold Italics" w:eastAsia="Nunito Sans Bold Italics"/>
                <w:b/>
                <w:bCs/>
                <w:i/>
                <w:iCs/>
                <w:color w:val="000000"/>
                <w:sz w:val="28"/>
                <w:szCs w:val="28"/>
              </w:rPr>
              <w:t>General Ownership Information</w:t>
            </w:r>
            <w:r>
              <w:rPr>
                <w:rFonts w:ascii="Nunito Sans Bold Italics" w:hAnsi="Nunito Sans Bold Italics" w:cs="Nunito Sans Bold Italics" w:eastAsia="Nunito Sans Bold Italics"/>
                <w:b/>
                <w:bCs/>
                <w:i/>
                <w:iCs/>
                <w:color w:val="000000"/>
                <w:sz w:val="28"/>
                <w:szCs w:val="28"/>
              </w:rPr>
              <w:t xml:space="preserve">
</w:t>
            </w:r>
          </w:p>
        </w:tc>
      </w:tr>
      <w:tr>
        <w:tc>
          <w:tcPr>
            <w:tcW w:w="1944" w:type="dxa"/>
            <w:vMerge w:val="restart"/>
            <w:shd w:val="clear" w:color="auto" w:fill="77b2f4"/>
            <w:tcMar>
              <w:top w:w="75"/>
              <w:start w:w="75"/>
              <w:bottom w:w="75"/>
              <w:end w:w="75"/>
            </w:tcMar>
          </w:tcPr>
          <w:p>
            <w:pPr>
              <w:spacing w:after="120" w:before="120" w:line="286" w:lineRule="auto"/>
              <w:ind w:firstLine="0" w:start="0"/>
              <w:jc w:val="center"/>
            </w:pPr>
            <w:r>
              <w:rPr>
                <w:rFonts w:ascii="Nunito Sans Italics" w:hAnsi="Nunito Sans Italics" w:cs="Nunito Sans Italics" w:eastAsia="Nunito Sans Italics"/>
                <w:i/>
                <w:iCs/>
                <w:color w:val="000000"/>
                <w:sz w:val="28"/>
                <w:szCs w:val="28"/>
              </w:rPr>
              <w:t>Single Owner Facility? *</w:t>
            </w:r>
            <w:r>
              <w:rPr>
                <w:rFonts w:ascii="Nunito Sans Italics" w:hAnsi="Nunito Sans Italics" w:cs="Nunito Sans Italics" w:eastAsia="Nunito Sans Italics"/>
                <w:i/>
                <w:iCs/>
                <w:color w:val="000000"/>
                <w:sz w:val="28"/>
                <w:szCs w:val="28"/>
              </w:rPr>
              <w:t xml:space="preserve">
</w:t>
            </w:r>
          </w:p>
        </w:tc>
        <w:tc>
          <w:tcPr>
            <w:tcW w:w="7085" w:type="dxa"/>
            <w:vMerge w:val="restart"/>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 xml:space="preserve">Yes: The facility has one owner. </w:t>
            </w:r>
            <w:r>
              <w:rPr>
                <w:rFonts w:ascii="Nunito Sans" w:hAnsi="Nunito Sans" w:cs="Nunito Sans" w:eastAsia="Nunito Sans"/>
                <w:color w:val="000000"/>
                <w:sz w:val="28"/>
                <w:szCs w:val="28"/>
              </w:rPr>
              <w:t xml:space="preserve">
</w:t>
            </w:r>
          </w:p>
          <w:p>
            <w:pPr>
              <w:spacing w:after="120" w:before="120" w:line="286" w:lineRule="auto"/>
              <w:ind w:firstLine="0" w:start="0"/>
              <w:jc w:val="start"/>
            </w:pPr>
            <w:r>
              <w:rPr>
                <w:rFonts w:ascii="Nunito Sans" w:hAnsi="Nunito Sans" w:cs="Nunito Sans" w:eastAsia="Nunito Sans"/>
                <w:color w:val="000000"/>
                <w:sz w:val="28"/>
                <w:szCs w:val="28"/>
              </w:rPr>
              <w:t xml:space="preserve">No: The facility is owned by multiple organizations. Input the additional owners. </w:t>
            </w:r>
            <w:r>
              <w:rPr>
                <w:rFonts w:ascii="Nunito Sans" w:hAnsi="Nunito Sans" w:cs="Nunito Sans" w:eastAsia="Nunito Sans"/>
                <w:color w:val="000000"/>
                <w:sz w:val="28"/>
                <w:szCs w:val="28"/>
              </w:rPr>
              <w:t xml:space="preserve">
</w:t>
            </w:r>
          </w:p>
        </w:tc>
      </w:tr>
      <w:tr>
        <w:tc>
          <w:tcPr>
            <w:vMerge w:val="continue"/>
          </w:tcPr>
          <w:p/>
        </w:tc>
        <w:tc>
          <w:tcPr>
            <w:vMerge w:val="continue"/>
          </w:tcPr>
          <w:p/>
        </w:tc>
      </w:tr>
      <w:tr>
        <w:tc>
          <w:tcPr>
            <w:tcW w:w="9030" w:type="dxa"/>
            <w:gridSpan w:val="2"/>
            <w:tcBorders>
              <w:top w:color="000000" w:sz="12" w:val="single"/>
            </w:tcBorders>
            <w:shd w:val="clear" w:color="auto" w:fill="d9d9d9"/>
            <w:tcMar>
              <w:top w:w="75"/>
              <w:start w:w="75"/>
              <w:bottom w:w="75"/>
              <w:end w:w="75"/>
            </w:tcMar>
          </w:tcPr>
          <w:p>
            <w:pPr>
              <w:spacing w:after="120" w:before="120" w:line="286" w:lineRule="auto"/>
              <w:ind w:firstLine="0" w:start="0"/>
              <w:jc w:val="center"/>
            </w:pPr>
            <w:r>
              <w:rPr>
                <w:rFonts w:ascii="Nunito Sans Bold Italics" w:hAnsi="Nunito Sans Bold Italics" w:cs="Nunito Sans Bold Italics" w:eastAsia="Nunito Sans Bold Italics"/>
                <w:b/>
                <w:bCs/>
                <w:i/>
                <w:iCs/>
                <w:color w:val="000000"/>
                <w:sz w:val="28"/>
                <w:szCs w:val="28"/>
              </w:rPr>
              <w:t>Ownership Type and Registration Rights</w:t>
            </w:r>
            <w:r>
              <w:rPr>
                <w:rFonts w:ascii="Nunito Sans Bold Italics" w:hAnsi="Nunito Sans Bold Italics" w:cs="Nunito Sans Bold Italics" w:eastAsia="Nunito Sans Bold Italics"/>
                <w:b/>
                <w:bCs/>
                <w:i/>
                <w:iCs/>
                <w:color w:val="000000"/>
                <w:sz w:val="28"/>
                <w:szCs w:val="28"/>
              </w:rPr>
              <w:t xml:space="preserve">
</w:t>
            </w:r>
          </w:p>
        </w:tc>
      </w:tr>
      <w:tr>
        <w:tc>
          <w:tcPr>
            <w:tcW w:w="1944" w:type="dxa"/>
            <w:tcBorders>
              <w:top w:color="000000" w:sz="12" w:val="single"/>
            </w:tcBorders>
            <w:shd w:val="clear" w:color="auto" w:fill="77b2f4"/>
            <w:tcMar>
              <w:top w:w="75"/>
              <w:start w:w="75"/>
              <w:bottom w:w="75"/>
              <w:end w:w="75"/>
            </w:tcMar>
          </w:tcPr>
          <w:p>
            <w:pPr>
              <w:spacing w:after="120" w:before="120" w:line="286" w:lineRule="auto"/>
              <w:ind w:firstLine="0" w:start="0"/>
              <w:jc w:val="center"/>
            </w:pPr>
            <w:r>
              <w:rPr>
                <w:rFonts w:ascii="Nunito Sans Italics" w:hAnsi="Nunito Sans Italics" w:cs="Nunito Sans Italics" w:eastAsia="Nunito Sans Italics"/>
                <w:i/>
                <w:iCs/>
                <w:color w:val="000000"/>
                <w:sz w:val="28"/>
                <w:szCs w:val="28"/>
              </w:rPr>
              <w:t>Ownership Types*</w:t>
            </w:r>
            <w:r>
              <w:rPr>
                <w:rFonts w:ascii="Nunito Sans Italics" w:hAnsi="Nunito Sans Italics" w:cs="Nunito Sans Italics" w:eastAsia="Nunito Sans Italics"/>
                <w:i/>
                <w:iCs/>
                <w:color w:val="000000"/>
                <w:sz w:val="28"/>
                <w:szCs w:val="28"/>
              </w:rPr>
              <w:t xml:space="preserve">
</w:t>
            </w:r>
          </w:p>
        </w:tc>
        <w:tc>
          <w:tcPr>
            <w:tcW w:w="7085" w:type="dxa"/>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 xml:space="preserve">The organization type that owns the generator (e.g: Independent Power Producer, Irrigation District). </w:t>
            </w:r>
            <w:r>
              <w:rPr>
                <w:rFonts w:ascii="Nunito Sans" w:hAnsi="Nunito Sans" w:cs="Nunito Sans" w:eastAsia="Nunito Sans"/>
                <w:color w:val="000000"/>
                <w:sz w:val="28"/>
                <w:szCs w:val="28"/>
              </w:rPr>
              <w:t xml:space="preserve">
</w:t>
            </w:r>
          </w:p>
        </w:tc>
      </w:tr>
      <w:tr>
        <w:tc>
          <w:tcPr>
            <w:tcW w:w="1944" w:type="dxa"/>
            <w:tcBorders>
              <w:top w:color="000000" w:sz="12" w:val="single"/>
            </w:tcBorders>
            <w:shd w:val="clear" w:color="auto" w:fill="77b2f4"/>
            <w:tcMar>
              <w:top w:w="75"/>
              <w:start w:w="75"/>
              <w:bottom w:w="75"/>
              <w:end w:w="75"/>
            </w:tcMar>
          </w:tcPr>
          <w:p>
            <w:pPr>
              <w:spacing w:after="120" w:before="120" w:line="286" w:lineRule="auto"/>
              <w:ind w:firstLine="0" w:start="0"/>
              <w:jc w:val="center"/>
            </w:pPr>
            <w:r>
              <w:rPr>
                <w:rFonts w:ascii="Nunito Sans Italics" w:hAnsi="Nunito Sans Italics" w:cs="Nunito Sans Italics" w:eastAsia="Nunito Sans Italics"/>
                <w:i/>
                <w:iCs/>
                <w:color w:val="000000"/>
                <w:sz w:val="28"/>
                <w:szCs w:val="28"/>
              </w:rPr>
              <w:t xml:space="preserve">Do you have a PPA? 
</w:t>
            </w:r>
          </w:p>
        </w:tc>
        <w:tc>
          <w:tcPr>
            <w:tcW w:w="7085" w:type="dxa"/>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Yes: The facility is being used to fulfill a PPA. The PPA should be uploaded under documents.</w:t>
            </w:r>
            <w:r>
              <w:rPr>
                <w:rFonts w:ascii="Nunito Sans" w:hAnsi="Nunito Sans" w:cs="Nunito Sans" w:eastAsia="Nunito Sans"/>
                <w:color w:val="000000"/>
                <w:sz w:val="28"/>
                <w:szCs w:val="28"/>
              </w:rPr>
              <w:t xml:space="preserve">
</w:t>
            </w:r>
          </w:p>
          <w:p>
            <w:pPr>
              <w:spacing w:after="120" w:before="120" w:line="286" w:lineRule="auto"/>
              <w:ind w:firstLine="0" w:start="0"/>
              <w:jc w:val="start"/>
            </w:pPr>
            <w:r>
              <w:rPr>
                <w:rFonts w:ascii="Nunito Sans" w:hAnsi="Nunito Sans" w:cs="Nunito Sans" w:eastAsia="Nunito Sans"/>
                <w:color w:val="000000"/>
                <w:sz w:val="28"/>
                <w:szCs w:val="28"/>
              </w:rPr>
              <w:t xml:space="preserve">No: The facility is not being used to fulfill a PPA.
</w:t>
            </w:r>
          </w:p>
        </w:tc>
      </w:tr>
      <w:tr>
        <w:tc>
          <w:tcPr>
            <w:tcW w:w="1944" w:type="dxa"/>
            <w:shd w:val="clear" w:color="auto" w:fill="77b2f4"/>
            <w:tcMar>
              <w:top w:w="75"/>
              <w:start w:w="75"/>
              <w:bottom w:w="75"/>
              <w:end w:w="75"/>
            </w:tcMar>
          </w:tcPr>
          <w:p>
            <w:pPr>
              <w:spacing w:after="120" w:before="120" w:line="286" w:lineRule="auto"/>
              <w:ind w:firstLine="0" w:start="0"/>
              <w:jc w:val="center"/>
            </w:pPr>
            <w:r>
              <w:rPr>
                <w:rFonts w:ascii="Nunito Sans Italics" w:hAnsi="Nunito Sans Italics" w:cs="Nunito Sans Italics" w:eastAsia="Nunito Sans Italics"/>
                <w:i/>
                <w:iCs/>
                <w:color w:val="000000"/>
                <w:sz w:val="28"/>
                <w:szCs w:val="28"/>
              </w:rPr>
              <w:t>Assignment of Registration Rights</w:t>
            </w:r>
            <w:r>
              <w:rPr>
                <w:rFonts w:ascii="Nunito Sans Italics" w:hAnsi="Nunito Sans Italics" w:cs="Nunito Sans Italics" w:eastAsia="Nunito Sans Italics"/>
                <w:i/>
                <w:iCs/>
                <w:color w:val="000000"/>
                <w:sz w:val="28"/>
                <w:szCs w:val="28"/>
              </w:rPr>
              <w:t xml:space="preserve">
</w:t>
            </w:r>
          </w:p>
        </w:tc>
        <w:tc>
          <w:tcPr>
            <w:tcW w:w="7085" w:type="dxa"/>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Yes: Facility is a single owner facility or the Schedule A is signed by both the owner and the responsible party.</w:t>
            </w:r>
            <w:r>
              <w:rPr>
                <w:rFonts w:ascii="Nunito Sans" w:hAnsi="Nunito Sans" w:cs="Nunito Sans" w:eastAsia="Nunito Sans"/>
                <w:color w:val="000000"/>
                <w:sz w:val="28"/>
                <w:szCs w:val="28"/>
              </w:rPr>
              <w:t xml:space="preserve">
</w:t>
            </w:r>
          </w:p>
          <w:p>
            <w:pPr>
              <w:spacing w:after="120" w:before="120" w:line="286" w:lineRule="auto"/>
              <w:ind w:firstLine="0" w:start="0"/>
              <w:jc w:val="start"/>
            </w:pPr>
            <w:r>
              <w:rPr>
                <w:rFonts w:ascii="Nunito Sans" w:hAnsi="Nunito Sans" w:cs="Nunito Sans" w:eastAsia="Nunito Sans"/>
                <w:color w:val="000000"/>
                <w:sz w:val="28"/>
                <w:szCs w:val="28"/>
              </w:rPr>
              <w:t xml:space="preserve">No: Not applicable.
</w:t>
            </w:r>
          </w:p>
        </w:tc>
      </w:tr>
      <w:tr>
        <w:tc>
          <w:tcPr>
            <w:tcW w:w="1944" w:type="dxa"/>
            <w:shd w:val="clear" w:color="auto" w:fill="77b2f4"/>
            <w:tcMar>
              <w:top w:w="75"/>
              <w:start w:w="75"/>
              <w:bottom w:w="75"/>
              <w:end w:w="75"/>
            </w:tcMar>
          </w:tcPr>
          <w:p>
            <w:pPr>
              <w:spacing w:after="120" w:before="120" w:line="286" w:lineRule="auto"/>
              <w:ind w:firstLine="0" w:start="0"/>
              <w:jc w:val="center"/>
            </w:pPr>
            <w:r>
              <w:rPr>
                <w:rFonts w:ascii="Nunito Sans Italics" w:hAnsi="Nunito Sans Italics" w:cs="Nunito Sans Italics" w:eastAsia="Nunito Sans Italics"/>
                <w:i/>
                <w:iCs/>
                <w:color w:val="000000"/>
                <w:sz w:val="28"/>
                <w:szCs w:val="28"/>
              </w:rPr>
              <w:t xml:space="preserve">Assignment of Registration Rights Date
</w:t>
            </w:r>
          </w:p>
        </w:tc>
        <w:tc>
          <w:tcPr>
            <w:tcW w:w="7085" w:type="dxa"/>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Date the Schedule A - Designation of Registration Rights was signed by the</w:t>
            </w:r>
            <w:r>
              <w:rPr>
                <w:rFonts w:ascii="Nunito Sans" w:hAnsi="Nunito Sans" w:cs="Nunito Sans" w:eastAsia="Nunito Sans"/>
                <w:color w:val="000000"/>
                <w:sz w:val="28"/>
                <w:szCs w:val="28"/>
              </w:rPr>
              <w:t xml:space="preserve"> facility</w:t>
            </w:r>
            <w:r>
              <w:rPr>
                <w:rFonts w:ascii="Nunito Sans" w:hAnsi="Nunito Sans" w:cs="Nunito Sans" w:eastAsia="Nunito Sans"/>
                <w:color w:val="000000"/>
                <w:sz w:val="28"/>
                <w:szCs w:val="28"/>
              </w:rPr>
              <w:t xml:space="preserve"> owner</w:t>
            </w:r>
            <w:r>
              <w:rPr>
                <w:rFonts w:ascii="Nunito Sans" w:hAnsi="Nunito Sans" w:cs="Nunito Sans" w:eastAsia="Nunito Sans"/>
                <w:color w:val="000000"/>
                <w:sz w:val="28"/>
                <w:szCs w:val="28"/>
              </w:rPr>
              <w:t xml:space="preserve">. </w:t>
            </w:r>
            <w:r>
              <w:rPr>
                <w:rFonts w:ascii="Nunito Sans" w:hAnsi="Nunito Sans" w:cs="Nunito Sans" w:eastAsia="Nunito Sans"/>
                <w:color w:val="000000"/>
                <w:sz w:val="28"/>
                <w:szCs w:val="28"/>
              </w:rPr>
              <w:t xml:space="preserve">
</w:t>
            </w:r>
          </w:p>
        </w:tc>
      </w:tr>
      <w:tr>
        <w:tc>
          <w:tcPr>
            <w:tcW w:w="1944" w:type="dxa"/>
            <w:shd w:val="clear" w:color="auto" w:fill="77b2f4"/>
            <w:tcMar>
              <w:top w:w="75"/>
              <w:start w:w="75"/>
              <w:bottom w:w="75"/>
              <w:end w:w="75"/>
            </w:tcMar>
          </w:tcPr>
          <w:p>
            <w:pPr>
              <w:spacing w:after="120" w:before="120" w:line="286" w:lineRule="auto"/>
              <w:ind w:firstLine="0" w:start="0"/>
              <w:jc w:val="center"/>
            </w:pPr>
            <w:r>
              <w:rPr>
                <w:rFonts w:ascii="Nunito Sans Italics" w:hAnsi="Nunito Sans Italics" w:cs="Nunito Sans Italics" w:eastAsia="Nunito Sans Italics"/>
                <w:i/>
                <w:iCs/>
                <w:color w:val="000000"/>
                <w:sz w:val="28"/>
                <w:szCs w:val="28"/>
              </w:rPr>
              <w:t xml:space="preserve">Court/Regulator Assignment of Rights
</w:t>
            </w:r>
          </w:p>
        </w:tc>
        <w:tc>
          <w:tcPr>
            <w:tcW w:w="7085" w:type="dxa"/>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 xml:space="preserve">Yes: Registration rights are assigned by a Court/Regulator. 
</w:t>
            </w:r>
          </w:p>
          <w:p>
            <w:pPr>
              <w:spacing w:after="120" w:before="120" w:line="286" w:lineRule="auto"/>
              <w:ind w:firstLine="0" w:start="0"/>
              <w:jc w:val="start"/>
            </w:pPr>
            <w:r>
              <w:rPr>
                <w:rFonts w:ascii="Nunito Sans" w:hAnsi="Nunito Sans" w:cs="Nunito Sans" w:eastAsia="Nunito Sans"/>
                <w:color w:val="000000"/>
                <w:sz w:val="28"/>
                <w:szCs w:val="28"/>
              </w:rPr>
              <w:t xml:space="preserve">No: Registration rights were not assigned by a Court/Regulator. 
</w:t>
            </w:r>
          </w:p>
        </w:tc>
      </w:tr>
      <w:tr>
        <w:tc>
          <w:tcPr>
            <w:tcW w:w="1944" w:type="dxa"/>
            <w:shd w:val="clear" w:color="auto" w:fill="77b2f4"/>
            <w:tcMar>
              <w:top w:w="75"/>
              <w:start w:w="75"/>
              <w:bottom w:w="75"/>
              <w:end w:w="75"/>
            </w:tcMar>
          </w:tcPr>
          <w:p>
            <w:pPr>
              <w:spacing w:after="120" w:before="120" w:line="286" w:lineRule="auto"/>
              <w:ind w:firstLine="0" w:start="0"/>
              <w:jc w:val="center"/>
            </w:pPr>
            <w:r>
              <w:rPr>
                <w:rFonts w:ascii="Nunito Sans Italics" w:hAnsi="Nunito Sans Italics" w:cs="Nunito Sans Italics" w:eastAsia="Nunito Sans Italics"/>
                <w:i/>
                <w:iCs/>
                <w:color w:val="000000"/>
                <w:sz w:val="28"/>
                <w:szCs w:val="28"/>
              </w:rPr>
              <w:t xml:space="preserve">Court/Regulator Assignment of Rights Date
</w:t>
            </w:r>
          </w:p>
        </w:tc>
        <w:tc>
          <w:tcPr>
            <w:tcW w:w="7085" w:type="dxa"/>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 xml:space="preserve">Date the Court or Regulator Assigned the Registration Rights; Upload a copy of the documentation validating the registration rights. 
</w:t>
            </w:r>
          </w:p>
        </w:tc>
      </w:tr>
      <w:tr>
        <w:tc>
          <w:tcPr>
            <w:tcW w:w="9030" w:type="dxa"/>
            <w:gridSpan w:val="2"/>
            <w:shd w:val="clear" w:color="auto" w:fill="d9d9d9"/>
            <w:tcMar>
              <w:top w:w="75"/>
              <w:start w:w="75"/>
              <w:bottom w:w="75"/>
              <w:end w:w="75"/>
            </w:tcMar>
          </w:tcPr>
          <w:p>
            <w:pPr>
              <w:spacing w:after="120" w:before="120" w:line="286" w:lineRule="auto"/>
              <w:ind w:firstLine="0" w:start="0"/>
              <w:jc w:val="center"/>
            </w:pPr>
            <w:r>
              <w:rPr>
                <w:rFonts w:ascii="Nunito Sans Bold Italics" w:hAnsi="Nunito Sans Bold Italics" w:cs="Nunito Sans Bold Italics" w:eastAsia="Nunito Sans Bold Italics"/>
                <w:b/>
                <w:bCs/>
                <w:i/>
                <w:iCs/>
                <w:color w:val="000000"/>
                <w:sz w:val="28"/>
                <w:szCs w:val="28"/>
              </w:rPr>
              <w:t>Owner Contact Information</w:t>
            </w:r>
            <w:r>
              <w:rPr>
                <w:rFonts w:ascii="Nunito Sans Bold Italics" w:hAnsi="Nunito Sans Bold Italics" w:cs="Nunito Sans Bold Italics" w:eastAsia="Nunito Sans Bold Italics"/>
                <w:b/>
                <w:bCs/>
                <w:i/>
                <w:iCs/>
                <w:color w:val="000000"/>
                <w:sz w:val="28"/>
                <w:szCs w:val="28"/>
              </w:rPr>
              <w:t xml:space="preserve">
</w:t>
            </w:r>
          </w:p>
        </w:tc>
      </w:tr>
      <w:tr>
        <w:tc>
          <w:tcPr>
            <w:tcW w:w="1944" w:type="dxa"/>
            <w:shd w:val="clear" w:color="auto" w:fill="77b2f4"/>
            <w:tcMar>
              <w:top w:w="75"/>
              <w:start w:w="75"/>
              <w:bottom w:w="75"/>
              <w:end w:w="75"/>
            </w:tcMar>
          </w:tcPr>
          <w:p>
            <w:pPr>
              <w:spacing w:after="120" w:before="120" w:line="286" w:lineRule="auto"/>
              <w:ind w:firstLine="0" w:start="0"/>
              <w:jc w:val="center"/>
            </w:pPr>
            <w:r>
              <w:rPr>
                <w:rFonts w:ascii="Nunito Sans Italics" w:hAnsi="Nunito Sans Italics" w:cs="Nunito Sans Italics" w:eastAsia="Nunito Sans Italics"/>
                <w:i/>
                <w:iCs/>
                <w:color w:val="000000"/>
                <w:sz w:val="28"/>
                <w:szCs w:val="28"/>
              </w:rPr>
              <w:t>Contact Information*</w:t>
            </w:r>
            <w:r>
              <w:rPr>
                <w:rFonts w:ascii="Nunito Sans Italics" w:hAnsi="Nunito Sans Italics" w:cs="Nunito Sans Italics" w:eastAsia="Nunito Sans Italics"/>
                <w:i/>
                <w:iCs/>
                <w:color w:val="000000"/>
                <w:sz w:val="28"/>
                <w:szCs w:val="28"/>
              </w:rPr>
              <w:t xml:space="preserve">
</w:t>
            </w:r>
          </w:p>
        </w:tc>
        <w:tc>
          <w:tcPr>
            <w:tcW w:w="7085" w:type="dxa"/>
            <w:shd w:val="clear" w:color="auto" w:fill="ffffff"/>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The contact information for the organization or individual that owns the facility.</w:t>
            </w:r>
            <w:r>
              <w:rPr>
                <w:rFonts w:ascii="Nunito Sans" w:hAnsi="Nunito Sans" w:cs="Nunito Sans" w:eastAsia="Nunito Sans"/>
                <w:color w:val="000000"/>
                <w:sz w:val="28"/>
                <w:szCs w:val="28"/>
              </w:rPr>
              <w:t xml:space="preserve">
</w:t>
            </w:r>
          </w:p>
        </w:tc>
      </w:tr>
    </w:tbl>
    <w:p>
      <w:pPr>
        <w:spacing w:after="120" w:before="120" w:line="336" w:lineRule="auto"/>
        <w:ind w:firstLine="0" w:start="0"/>
        <w:jc w:val="start"/>
      </w:pPr>
      <w:r>
        <w:rPr>
          <w:rFonts w:ascii="Nunito Sans" w:hAnsi="Nunito Sans" w:cs="Nunito Sans" w:eastAsia="Nunito Sans"/>
          <w:color w:val="000000"/>
          <w:sz w:val="50"/>
          <w:szCs w:val="50"/>
        </w:rPr>
        <w:t xml:space="preserve">
</w:t>
      </w:r>
    </w:p>
    <w:p>
      <w:pPr>
        <w:spacing w:after="120" w:before="120" w:line="336" w:lineRule="auto"/>
        <w:ind w:firstLine="0" w:start="0"/>
        <w:jc w:val="start"/>
      </w:pPr>
      <w:r>
        <w:rPr>
          <w:rFonts w:ascii="Nunito Sans" w:hAnsi="Nunito Sans" w:cs="Nunito Sans" w:eastAsia="Nunito Sans"/>
          <w:color w:val="000000"/>
          <w:sz w:val="40"/>
          <w:szCs w:val="40"/>
        </w:rPr>
        <w:t xml:space="preserve">
</w:t>
      </w:r>
    </w:p>
    <w:p>
      <w:pPr>
        <w:spacing w:after="120" w:before="120" w:line="336" w:lineRule="auto"/>
        <w:ind w:firstLine="0" w:start="0"/>
        <w:jc w:val="start"/>
      </w:pPr>
      <w:r>
        <w:rPr>
          <w:rFonts w:ascii="Nunito Sans" w:hAnsi="Nunito Sans" w:cs="Nunito Sans" w:eastAsia="Nunito Sans"/>
          <w:color w:val="000000"/>
          <w:sz w:val="40"/>
          <w:szCs w:val="40"/>
        </w:rPr>
        <w:t xml:space="preserve">
</w:t>
      </w:r>
    </w:p>
    <w:p>
      <w:pPr>
        <w:spacing w:after="120" w:before="120" w:line="336" w:lineRule="auto"/>
        <w:ind w:firstLine="0" w:start="0"/>
        <w:jc w:val="start"/>
      </w:pPr>
      <w:r>
        <w:rPr>
          <w:rFonts w:ascii="Nunito Sans" w:hAnsi="Nunito Sans" w:cs="Nunito Sans" w:eastAsia="Nunito Sans"/>
          <w:color w:val="000000"/>
          <w:sz w:val="40"/>
          <w:szCs w:val="40"/>
        </w:rPr>
        <w:t xml:space="preserve">Operator Tab
</w:t>
      </w:r>
    </w:p>
    <w:tbl>
      <w:tblPr>
        <w:tblW w:w="9030" w:type="dxa"/>
        <w:tblBorders>
          <w:top w:val="single" w:color="000000" w:sz="18"/>
          <w:start w:color="000000" w:sz="18" w:val="single"/>
          <w:left w:val="single"/>
          <w:bottom w:val="single" w:color="000000" w:sz="18"/>
          <w:end w:color="000000" w:sz="18" w:val="single"/>
          <w:right w:val="single"/>
          <w:insideH w:val="single" w:color="000000" w:sz="18"/>
          <w:insideV w:val="single" w:color="000000" w:sz="18"/>
        </w:tblBorders>
      </w:tblPr>
      <w:tblGrid>
        <w:gridCol w:w="1944"/>
        <w:gridCol w:w="7085"/>
      </w:tblGrid>
      <w:tr>
        <w:tc>
          <w:tcPr>
            <w:tcW w:w="9030" w:type="dxa"/>
            <w:gridSpan w:val="2"/>
            <w:shd w:val="clear" w:color="auto" w:fill="d9d9d9"/>
            <w:tcMar>
              <w:top w:w="75"/>
              <w:start w:w="75"/>
              <w:bottom w:w="75"/>
              <w:end w:w="75"/>
            </w:tcMar>
          </w:tcPr>
          <w:p>
            <w:pPr>
              <w:spacing w:after="120" w:before="120" w:line="286" w:lineRule="auto"/>
              <w:ind w:firstLine="0" w:start="0"/>
              <w:jc w:val="center"/>
            </w:pPr>
            <w:r>
              <w:rPr>
                <w:rFonts w:ascii="Nunito Sans Bold Italics" w:hAnsi="Nunito Sans Bold Italics" w:cs="Nunito Sans Bold Italics" w:eastAsia="Nunito Sans Bold Italics"/>
                <w:b/>
                <w:bCs/>
                <w:i/>
                <w:iCs/>
                <w:color w:val="000000"/>
                <w:sz w:val="28"/>
                <w:szCs w:val="28"/>
              </w:rPr>
              <w:t>Facility Operator Information</w:t>
            </w:r>
            <w:r>
              <w:rPr>
                <w:rFonts w:ascii="Nunito Sans Bold Italics" w:hAnsi="Nunito Sans Bold Italics" w:cs="Nunito Sans Bold Italics" w:eastAsia="Nunito Sans Bold Italics"/>
                <w:b/>
                <w:bCs/>
                <w:i/>
                <w:iCs/>
                <w:color w:val="000000"/>
                <w:sz w:val="28"/>
                <w:szCs w:val="28"/>
              </w:rPr>
              <w:t xml:space="preserve">
</w:t>
            </w:r>
          </w:p>
        </w:tc>
      </w:tr>
      <w:tr>
        <w:tc>
          <w:tcPr>
            <w:tcW w:w="1944" w:type="dxa"/>
            <w:vMerge w:val="restart"/>
            <w:shd w:val="clear" w:color="auto" w:fill="77b2f4"/>
            <w:tcMar>
              <w:top w:w="75"/>
              <w:start w:w="75"/>
              <w:bottom w:w="75"/>
              <w:end w:w="75"/>
            </w:tcMar>
          </w:tcPr>
          <w:p>
            <w:pPr>
              <w:spacing w:after="120" w:before="120" w:line="286" w:lineRule="auto"/>
              <w:ind w:firstLine="0" w:start="0"/>
              <w:jc w:val="center"/>
            </w:pPr>
            <w:r>
              <w:rPr>
                <w:rFonts w:ascii="Nunito Sans Italics" w:hAnsi="Nunito Sans Italics" w:cs="Nunito Sans Italics" w:eastAsia="Nunito Sans Italics"/>
                <w:i/>
                <w:iCs/>
                <w:color w:val="000000"/>
                <w:sz w:val="28"/>
                <w:szCs w:val="28"/>
              </w:rPr>
              <w:t xml:space="preserve">Facility Operator Information * </w:t>
            </w:r>
            <w:r>
              <w:rPr>
                <w:rFonts w:ascii="Nunito Sans Italics" w:hAnsi="Nunito Sans Italics" w:cs="Nunito Sans Italics" w:eastAsia="Nunito Sans Italics"/>
                <w:i/>
                <w:iCs/>
                <w:color w:val="000000"/>
                <w:sz w:val="28"/>
                <w:szCs w:val="28"/>
              </w:rPr>
              <w:t xml:space="preserve">
</w:t>
            </w:r>
          </w:p>
        </w:tc>
        <w:tc>
          <w:tcPr>
            <w:tcW w:w="7085" w:type="dxa"/>
            <w:vMerge w:val="restart"/>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 xml:space="preserve">The contact information of the organization or individual that operates the facility. </w:t>
            </w:r>
            <w:r>
              <w:rPr>
                <w:rFonts w:ascii="Nunito Sans" w:hAnsi="Nunito Sans" w:cs="Nunito Sans" w:eastAsia="Nunito Sans"/>
                <w:color w:val="000000"/>
                <w:sz w:val="28"/>
                <w:szCs w:val="28"/>
              </w:rPr>
              <w:t xml:space="preserve">
</w:t>
            </w:r>
          </w:p>
        </w:tc>
      </w:tr>
      <w:tr>
        <w:tc>
          <w:tcPr>
            <w:vMerge w:val="continue"/>
          </w:tcPr>
          <w:p/>
        </w:tc>
        <w:tc>
          <w:tcPr>
            <w:vMerge w:val="continue"/>
          </w:tcPr>
          <w:p/>
        </w:tc>
      </w:tr>
    </w:tbl>
    <w:p>
      <w:pPr>
        <w:spacing w:after="120" w:before="120" w:line="336" w:lineRule="auto"/>
        <w:ind w:firstLine="0" w:start="0"/>
        <w:jc w:val="start"/>
      </w:pPr>
      <w:r>
        <w:rPr>
          <w:rFonts w:ascii="Nunito Sans" w:hAnsi="Nunito Sans" w:cs="Nunito Sans" w:eastAsia="Nunito Sans"/>
          <w:color w:val="000000"/>
          <w:sz w:val="40"/>
          <w:szCs w:val="40"/>
        </w:rPr>
        <w:t xml:space="preserve">Engineering Tab
</w:t>
      </w:r>
    </w:p>
    <w:tbl>
      <w:tblPr>
        <w:tblW w:w="9030" w:type="dxa"/>
        <w:tblBorders>
          <w:top w:val="single" w:color="000000" w:sz="18"/>
          <w:start w:color="000000" w:sz="18" w:val="single"/>
          <w:left w:val="single"/>
          <w:bottom w:val="single" w:color="000000" w:sz="18"/>
          <w:end w:color="000000" w:sz="18" w:val="single"/>
          <w:right w:val="single"/>
          <w:insideH w:val="single" w:color="000000" w:sz="18"/>
          <w:insideV w:val="single" w:color="000000" w:sz="18"/>
        </w:tblBorders>
      </w:tblPr>
      <w:tblGrid>
        <w:gridCol w:w="1944"/>
        <w:gridCol w:w="7085"/>
      </w:tblGrid>
      <w:tr>
        <w:tc>
          <w:tcPr>
            <w:tcW w:w="9030" w:type="dxa"/>
            <w:gridSpan w:val="2"/>
            <w:shd w:val="clear" w:color="auto" w:fill="d9d9d9"/>
            <w:tcMar>
              <w:top w:w="75"/>
              <w:start w:w="75"/>
              <w:bottom w:w="75"/>
              <w:end w:w="75"/>
            </w:tcMar>
          </w:tcPr>
          <w:p>
            <w:pPr>
              <w:spacing w:after="120" w:before="120" w:line="286" w:lineRule="auto"/>
              <w:ind w:firstLine="0" w:start="0"/>
              <w:jc w:val="center"/>
            </w:pPr>
            <w:r>
              <w:rPr>
                <w:rFonts w:ascii="Nunito Sans Bold Italics" w:hAnsi="Nunito Sans Bold Italics" w:cs="Nunito Sans Bold Italics" w:eastAsia="Nunito Sans Bold Italics"/>
                <w:b/>
                <w:bCs/>
                <w:i/>
                <w:iCs/>
                <w:color w:val="000000"/>
                <w:sz w:val="28"/>
                <w:szCs w:val="28"/>
              </w:rPr>
              <w:t>Interconnection Information</w:t>
            </w:r>
            <w:r>
              <w:rPr>
                <w:rFonts w:ascii="Nunito Sans Bold Italics" w:hAnsi="Nunito Sans Bold Italics" w:cs="Nunito Sans Bold Italics" w:eastAsia="Nunito Sans Bold Italics"/>
                <w:b/>
                <w:bCs/>
                <w:i/>
                <w:iCs/>
                <w:color w:val="000000"/>
                <w:sz w:val="28"/>
                <w:szCs w:val="28"/>
              </w:rPr>
              <w:t xml:space="preserve">
</w:t>
            </w:r>
          </w:p>
        </w:tc>
      </w:tr>
      <w:tr>
        <w:tc>
          <w:tcPr>
            <w:tcW w:w="1944" w:type="dxa"/>
            <w:vMerge w:val="restart"/>
            <w:shd w:val="clear" w:color="auto" w:fill="77b2f4"/>
            <w:tcMar>
              <w:top w:w="75"/>
              <w:start w:w="75"/>
              <w:bottom w:w="75"/>
              <w:end w:w="75"/>
            </w:tcMar>
          </w:tcPr>
          <w:p>
            <w:pPr>
              <w:spacing w:after="120" w:before="120" w:line="286" w:lineRule="auto"/>
              <w:ind w:firstLine="0" w:start="0"/>
              <w:jc w:val="start"/>
            </w:pPr>
            <w:r>
              <w:rPr>
                <w:rFonts w:ascii="Nunito Sans Italics" w:hAnsi="Nunito Sans Italics" w:cs="Nunito Sans Italics" w:eastAsia="Nunito Sans Italics"/>
                <w:i/>
                <w:iCs/>
                <w:color w:val="000000"/>
                <w:sz w:val="28"/>
                <w:szCs w:val="28"/>
              </w:rPr>
              <w:t xml:space="preserve">Generator Classification: </w:t>
            </w:r>
            <w:r>
              <w:rPr>
                <w:rFonts w:ascii="Nunito Sans Italics" w:hAnsi="Nunito Sans Italics" w:cs="Nunito Sans Italics" w:eastAsia="Nunito Sans Italics"/>
                <w:i/>
                <w:iCs/>
                <w:color w:val="000000"/>
                <w:sz w:val="28"/>
                <w:szCs w:val="28"/>
              </w:rPr>
              <w:t xml:space="preserve">Wholesale Generation
</w:t>
            </w:r>
          </w:p>
        </w:tc>
        <w:tc>
          <w:tcPr>
            <w:tcW w:w="7085" w:type="dxa"/>
            <w:vMerge w:val="restart"/>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Generators that are directly connected to the electric distribution network and sell the generated electricity directly to the wholesale market</w:t>
            </w:r>
            <w:r>
              <w:rPr>
                <w:rFonts w:ascii="Nunito Sans" w:hAnsi="Nunito Sans" w:cs="Nunito Sans" w:eastAsia="Nunito Sans"/>
                <w:color w:val="000000"/>
                <w:sz w:val="28"/>
                <w:szCs w:val="28"/>
              </w:rPr>
              <w:t xml:space="preserve">.
</w:t>
            </w:r>
          </w:p>
        </w:tc>
      </w:tr>
      <w:tr>
        <w:tc>
          <w:tcPr>
            <w:vMerge w:val="continue"/>
          </w:tcPr>
          <w:p/>
        </w:tc>
        <w:tc>
          <w:tcPr>
            <w:vMerge w:val="continue"/>
          </w:tcPr>
          <w:p/>
        </w:tc>
      </w:tr>
      <w:tr>
        <w:tc>
          <w:tcPr>
            <w:vMerge w:val="continue"/>
          </w:tcPr>
          <w:p/>
        </w:tc>
        <w:tc>
          <w:tcPr>
            <w:vMerge w:val="continue"/>
          </w:tcPr>
          <w:p/>
        </w:tc>
      </w:tr>
      <w:tr>
        <w:tc>
          <w:tcPr>
            <w:tcW w:w="1944" w:type="dxa"/>
            <w:vMerge w:val="restart"/>
            <w:shd w:val="clear" w:color="auto" w:fill="77b2f4"/>
            <w:tcMar>
              <w:top w:w="75"/>
              <w:start w:w="75"/>
              <w:bottom w:w="75"/>
              <w:end w:w="75"/>
            </w:tcMar>
          </w:tcPr>
          <w:p>
            <w:pPr>
              <w:spacing w:after="120" w:before="120" w:line="286" w:lineRule="auto"/>
              <w:ind w:firstLine="0" w:start="0"/>
              <w:jc w:val="start"/>
            </w:pPr>
            <w:r>
              <w:rPr>
                <w:rFonts w:ascii="Nunito Sans Italics" w:hAnsi="Nunito Sans Italics" w:cs="Nunito Sans Italics" w:eastAsia="Nunito Sans Italics"/>
                <w:i/>
                <w:iCs/>
                <w:color w:val="000000"/>
                <w:sz w:val="28"/>
                <w:szCs w:val="28"/>
              </w:rPr>
              <w:t xml:space="preserve">Generator Classification: </w:t>
            </w:r>
            <w:r>
              <w:rPr>
                <w:rFonts w:ascii="Nunito Sans Italics" w:hAnsi="Nunito Sans Italics" w:cs="Nunito Sans Italics" w:eastAsia="Nunito Sans Italics"/>
                <w:i/>
                <w:iCs/>
                <w:color w:val="000000"/>
                <w:sz w:val="28"/>
                <w:szCs w:val="28"/>
              </w:rPr>
              <w:t xml:space="preserve">Wholesale Generation Also serving On-site Loads
</w:t>
            </w:r>
          </w:p>
        </w:tc>
        <w:tc>
          <w:tcPr>
            <w:tcW w:w="7085" w:type="dxa"/>
            <w:vMerge w:val="restart"/>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 xml:space="preserve">Generators that are directly connected to the electric distribution network and sell the generated electricity directly to the wholesale market as well as consume it on-site.
</w:t>
            </w:r>
          </w:p>
        </w:tc>
      </w:tr>
      <w:tr>
        <w:tc>
          <w:tcPr>
            <w:vMerge w:val="continue"/>
          </w:tcPr>
          <w:p/>
        </w:tc>
        <w:tc>
          <w:tcPr>
            <w:vMerge w:val="continue"/>
          </w:tcPr>
          <w:p/>
        </w:tc>
      </w:tr>
      <w:tr>
        <w:tc>
          <w:tcPr>
            <w:tcW w:w="1944" w:type="dxa"/>
            <w:vMerge w:val="restart"/>
            <w:shd w:val="clear" w:color="auto" w:fill="77b2f4"/>
            <w:tcMar>
              <w:top w:w="75"/>
              <w:start w:w="75"/>
              <w:bottom w:w="75"/>
              <w:end w:w="75"/>
            </w:tcMar>
          </w:tcPr>
          <w:p>
            <w:pPr>
              <w:spacing w:after="120" w:before="120" w:line="286" w:lineRule="auto"/>
              <w:ind w:firstLine="0" w:start="0"/>
              <w:jc w:val="start"/>
            </w:pPr>
            <w:r>
              <w:rPr>
                <w:rFonts w:ascii="Nunito Sans Italics" w:hAnsi="Nunito Sans Italics" w:cs="Nunito Sans Italics" w:eastAsia="Nunito Sans Italics"/>
                <w:i/>
                <w:iCs/>
                <w:color w:val="000000"/>
                <w:sz w:val="28"/>
                <w:szCs w:val="28"/>
              </w:rPr>
              <w:t xml:space="preserve">Generator Classification: </w:t>
            </w:r>
            <w:r>
              <w:rPr>
                <w:rFonts w:ascii="Nunito Sans Italics" w:hAnsi="Nunito Sans Italics" w:cs="Nunito Sans Italics" w:eastAsia="Nunito Sans Italics"/>
                <w:i/>
                <w:iCs/>
                <w:color w:val="000000"/>
                <w:sz w:val="28"/>
                <w:szCs w:val="28"/>
              </w:rPr>
              <w:t xml:space="preserve">Customer- Sited Distributed Generation
</w:t>
            </w:r>
          </w:p>
        </w:tc>
        <w:tc>
          <w:tcPr>
            <w:tcW w:w="7085" w:type="dxa"/>
            <w:vMerge w:val="restart"/>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On-site customer generation also known as Distributed Energy Resources</w:t>
            </w:r>
            <w:r>
              <w:rPr>
                <w:rFonts w:ascii="Nunito Sans" w:hAnsi="Nunito Sans" w:cs="Nunito Sans" w:eastAsia="Nunito Sans"/>
                <w:color w:val="000000"/>
                <w:sz w:val="28"/>
                <w:szCs w:val="28"/>
              </w:rPr>
              <w:t>.</w:t>
            </w:r>
            <w:r>
              <w:rPr>
                <w:rFonts w:ascii="Nunito Sans" w:hAnsi="Nunito Sans" w:cs="Nunito Sans" w:eastAsia="Nunito Sans"/>
                <w:color w:val="000000"/>
                <w:sz w:val="28"/>
                <w:szCs w:val="28"/>
              </w:rPr>
              <w:t xml:space="preserve">
</w:t>
            </w:r>
          </w:p>
        </w:tc>
      </w:tr>
      <w:tr>
        <w:tc>
          <w:tcPr>
            <w:vMerge w:val="continue"/>
          </w:tcPr>
          <w:p/>
        </w:tc>
        <w:tc>
          <w:tcPr>
            <w:vMerge w:val="continue"/>
          </w:tcPr>
          <w:p/>
        </w:tc>
      </w:tr>
      <w:tr>
        <w:tc>
          <w:tcPr>
            <w:tcW w:w="1944" w:type="dxa"/>
            <w:shd w:val="clear" w:color="auto" w:fill="77b2f4"/>
            <w:tcMar>
              <w:top w:w="75"/>
              <w:start w:w="75"/>
              <w:bottom w:w="75"/>
              <w:end w:w="75"/>
            </w:tcMar>
          </w:tcPr>
          <w:p>
            <w:pPr>
              <w:spacing w:after="120" w:before="120" w:line="286" w:lineRule="auto"/>
              <w:ind w:firstLine="0" w:start="0"/>
              <w:jc w:val="start"/>
            </w:pPr>
            <w:r>
              <w:rPr>
                <w:rFonts w:ascii="Nunito Sans Italics" w:hAnsi="Nunito Sans Italics" w:cs="Nunito Sans Italics" w:eastAsia="Nunito Sans Italics"/>
                <w:i/>
                <w:iCs/>
                <w:color w:val="000000"/>
                <w:sz w:val="28"/>
                <w:szCs w:val="28"/>
              </w:rPr>
              <w:t xml:space="preserve">Balancing Authority 
</w:t>
            </w:r>
          </w:p>
        </w:tc>
        <w:tc>
          <w:tcPr>
            <w:tcW w:w="7085" w:type="dxa"/>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 xml:space="preserve">The responsible entity that integrates resource plans ahead of time, maintains load interchange-generation balance within a balancing authority area, and supports interconnection frequency in real time(e.g: MISO, South Eastern Power Administration, etc). </w:t>
            </w:r>
            <w:r>
              <w:rPr>
                <w:rFonts w:ascii="Nunito Sans" w:hAnsi="Nunito Sans" w:cs="Nunito Sans" w:eastAsia="Nunito Sans"/>
                <w:color w:val="000000"/>
                <w:sz w:val="28"/>
                <w:szCs w:val="28"/>
              </w:rPr>
              <w:t xml:space="preserve">
</w:t>
            </w:r>
          </w:p>
        </w:tc>
      </w:tr>
      <w:tr>
        <w:tc>
          <w:tcPr>
            <w:tcW w:w="1944" w:type="dxa"/>
            <w:shd w:val="clear" w:color="auto" w:fill="77b2f4"/>
            <w:tcMar>
              <w:top w:w="75"/>
              <w:start w:w="75"/>
              <w:bottom w:w="75"/>
              <w:end w:w="75"/>
            </w:tcMar>
          </w:tcPr>
          <w:p>
            <w:pPr>
              <w:spacing w:after="120" w:before="120" w:line="286" w:lineRule="auto"/>
              <w:ind w:firstLine="0" w:start="0"/>
              <w:jc w:val="start"/>
            </w:pPr>
            <w:r>
              <w:rPr>
                <w:rFonts w:ascii="Nunito Sans Italics" w:hAnsi="Nunito Sans Italics" w:cs="Nunito Sans Italics" w:eastAsia="Nunito Sans Italics"/>
                <w:i/>
                <w:iCs/>
                <w:color w:val="000000"/>
                <w:sz w:val="28"/>
                <w:szCs w:val="28"/>
              </w:rPr>
              <w:t xml:space="preserve">Balancing Authority ID
</w:t>
            </w:r>
          </w:p>
        </w:tc>
        <w:tc>
          <w:tcPr>
            <w:tcW w:w="7085" w:type="dxa"/>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 xml:space="preserve">Identification code for the Balancing Authority (if applicable). </w:t>
            </w:r>
            <w:r>
              <w:rPr>
                <w:rFonts w:ascii="Nunito Sans" w:hAnsi="Nunito Sans" w:cs="Nunito Sans" w:eastAsia="Nunito Sans"/>
                <w:color w:val="000000"/>
                <w:sz w:val="28"/>
                <w:szCs w:val="28"/>
              </w:rPr>
              <w:t xml:space="preserve">
</w:t>
            </w:r>
          </w:p>
        </w:tc>
      </w:tr>
      <w:tr>
        <w:tc>
          <w:tcPr>
            <w:tcW w:w="1944" w:type="dxa"/>
            <w:shd w:val="clear" w:color="auto" w:fill="77b2f4"/>
            <w:tcMar>
              <w:top w:w="75"/>
              <w:start w:w="75"/>
              <w:bottom w:w="75"/>
              <w:end w:w="75"/>
            </w:tcMar>
          </w:tcPr>
          <w:p>
            <w:pPr>
              <w:spacing w:after="120" w:before="120" w:line="286" w:lineRule="auto"/>
              <w:ind w:firstLine="0" w:start="0"/>
              <w:jc w:val="start"/>
            </w:pPr>
            <w:r>
              <w:rPr>
                <w:rFonts w:ascii="Nunito Sans Italics" w:hAnsi="Nunito Sans Italics" w:cs="Nunito Sans Italics" w:eastAsia="Nunito Sans Italics"/>
                <w:i/>
                <w:iCs/>
                <w:color w:val="000000"/>
                <w:sz w:val="28"/>
                <w:szCs w:val="28"/>
              </w:rPr>
              <w:t xml:space="preserve">Interconnected Utility 
</w:t>
            </w:r>
          </w:p>
        </w:tc>
        <w:tc>
          <w:tcPr>
            <w:tcW w:w="7085" w:type="dxa"/>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The owner or operator of an electrical utility distribution system that a Generator asset will be connected to for purposes of charging or discharging energy. The Interconnecting Utility issues the Interconnection Agreement and Certificate of Completion.</w:t>
            </w:r>
            <w:r>
              <w:rPr>
                <w:rFonts w:ascii="Nunito Sans" w:hAnsi="Nunito Sans" w:cs="Nunito Sans" w:eastAsia="Nunito Sans"/>
                <w:color w:val="000000"/>
                <w:sz w:val="28"/>
                <w:szCs w:val="28"/>
              </w:rPr>
              <w:t xml:space="preserve"> (e.g: Xcel Energy, Seminole Electric Cooperative Inc, etc). </w:t>
            </w:r>
            <w:r>
              <w:rPr>
                <w:rFonts w:ascii="Nunito Sans" w:hAnsi="Nunito Sans" w:cs="Nunito Sans" w:eastAsia="Nunito Sans"/>
                <w:color w:val="000000"/>
                <w:sz w:val="28"/>
                <w:szCs w:val="28"/>
              </w:rPr>
              <w:t xml:space="preserve">
</w:t>
            </w:r>
          </w:p>
        </w:tc>
      </w:tr>
      <w:tr>
        <w:tc>
          <w:tcPr>
            <w:tcW w:w="1944" w:type="dxa"/>
            <w:shd w:val="clear" w:color="auto" w:fill="77b2f4"/>
            <w:tcMar>
              <w:top w:w="75"/>
              <w:start w:w="75"/>
              <w:bottom w:w="75"/>
              <w:end w:w="75"/>
            </w:tcMar>
          </w:tcPr>
          <w:p>
            <w:pPr>
              <w:spacing w:after="120" w:before="120" w:line="286" w:lineRule="auto"/>
              <w:ind w:firstLine="0" w:start="0"/>
              <w:jc w:val="start"/>
            </w:pPr>
            <w:r>
              <w:rPr>
                <w:rFonts w:ascii="Nunito Sans Italics" w:hAnsi="Nunito Sans Italics" w:cs="Nunito Sans Italics" w:eastAsia="Nunito Sans Italics"/>
                <w:i/>
                <w:iCs/>
                <w:color w:val="000000"/>
                <w:sz w:val="28"/>
                <w:szCs w:val="28"/>
              </w:rPr>
              <w:t xml:space="preserve">Interconnected Utility ID
</w:t>
            </w:r>
          </w:p>
        </w:tc>
        <w:tc>
          <w:tcPr>
            <w:tcW w:w="7085" w:type="dxa"/>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Identification code for the Interconnected Utility (if applicable).</w:t>
            </w:r>
            <w:r>
              <w:rPr>
                <w:rFonts w:ascii="Nunito Sans" w:hAnsi="Nunito Sans" w:cs="Nunito Sans" w:eastAsia="Nunito Sans"/>
                <w:color w:val="000000"/>
                <w:sz w:val="28"/>
                <w:szCs w:val="28"/>
              </w:rPr>
              <w:t xml:space="preserve">
</w:t>
            </w:r>
          </w:p>
        </w:tc>
      </w:tr>
    </w:tbl>
    <w:p>
      <w:pPr>
        <w:spacing w:after="120" w:before="120" w:line="336" w:lineRule="auto"/>
        <w:ind w:firstLine="0" w:start="0"/>
        <w:jc w:val="start"/>
      </w:pPr>
      <w:r>
        <w:rPr>
          <w:rFonts w:ascii="Nunito Sans" w:hAnsi="Nunito Sans" w:cs="Nunito Sans" w:eastAsia="Nunito Sans"/>
          <w:color w:val="000000"/>
          <w:sz w:val="28"/>
          <w:szCs w:val="28"/>
        </w:rPr>
        <w:t xml:space="preserve">
</w:t>
      </w:r>
    </w:p>
    <w:p>
      <w:pPr>
        <w:spacing w:after="120" w:before="120" w:line="336" w:lineRule="auto"/>
        <w:ind w:firstLine="0" w:start="0"/>
        <w:jc w:val="start"/>
      </w:pPr>
      <w:r>
        <w:rPr>
          <w:rFonts w:ascii="Nunito Sans" w:hAnsi="Nunito Sans" w:cs="Nunito Sans" w:eastAsia="Nunito Sans"/>
          <w:color w:val="000000"/>
          <w:sz w:val="40"/>
          <w:szCs w:val="40"/>
        </w:rPr>
        <w:t xml:space="preserve">Engineering Tab Continued
</w:t>
      </w:r>
    </w:p>
    <w:tbl>
      <w:tblPr>
        <w:tblW w:w="9030" w:type="dxa"/>
        <w:tblBorders>
          <w:top w:val="single" w:color="000000" w:sz="18"/>
          <w:start w:color="000000" w:sz="18" w:val="single"/>
          <w:left w:val="single"/>
          <w:bottom w:val="single" w:color="000000" w:sz="18"/>
          <w:end w:color="000000" w:sz="18" w:val="single"/>
          <w:right w:val="single"/>
          <w:insideH w:val="single" w:color="000000" w:sz="18"/>
          <w:insideV w:val="single" w:color="000000" w:sz="18"/>
        </w:tblBorders>
      </w:tblPr>
      <w:tblGrid>
        <w:gridCol w:w="2124"/>
        <w:gridCol w:w="6905"/>
      </w:tblGrid>
      <w:tr>
        <w:tc>
          <w:tcPr>
            <w:tcW w:w="9030" w:type="dxa"/>
            <w:gridSpan w:val="2"/>
            <w:tcBorders>
              <w:top w:color="000000" w:sz="12" w:val="single"/>
            </w:tcBorders>
            <w:shd w:val="clear" w:color="auto" w:fill="d9d9d9"/>
            <w:tcMar>
              <w:top w:w="75"/>
              <w:start w:w="75"/>
              <w:bottom w:w="75"/>
              <w:end w:w="75"/>
            </w:tcMar>
          </w:tcPr>
          <w:p>
            <w:pPr>
              <w:spacing w:after="120" w:before="120" w:line="286" w:lineRule="auto"/>
              <w:ind w:firstLine="0" w:start="0"/>
              <w:jc w:val="center"/>
            </w:pPr>
            <w:r>
              <w:rPr>
                <w:rFonts w:ascii="Nunito Sans Bold Italics" w:hAnsi="Nunito Sans Bold Italics" w:cs="Nunito Sans Bold Italics" w:eastAsia="Nunito Sans Bold Italics"/>
                <w:b/>
                <w:bCs/>
                <w:i/>
                <w:iCs/>
                <w:color w:val="000000"/>
                <w:sz w:val="28"/>
                <w:szCs w:val="28"/>
              </w:rPr>
              <w:t>Metering Information</w:t>
            </w:r>
            <w:r>
              <w:rPr>
                <w:rFonts w:ascii="Nunito Sans Bold Italics" w:hAnsi="Nunito Sans Bold Italics" w:cs="Nunito Sans Bold Italics" w:eastAsia="Nunito Sans Bold Italics"/>
                <w:b/>
                <w:bCs/>
                <w:i/>
                <w:iCs/>
                <w:color w:val="000000"/>
                <w:sz w:val="28"/>
                <w:szCs w:val="28"/>
              </w:rPr>
              <w:t xml:space="preserve">
</w:t>
            </w:r>
          </w:p>
        </w:tc>
      </w:tr>
      <w:tr>
        <w:tc>
          <w:tcPr>
            <w:tcW w:w="2124" w:type="dxa"/>
            <w:shd w:val="clear" w:color="auto" w:fill="77b2f4"/>
            <w:tcMar>
              <w:top w:w="75"/>
              <w:start w:w="75"/>
              <w:bottom w:w="75"/>
              <w:end w:w="75"/>
            </w:tcMar>
          </w:tcPr>
          <w:p>
            <w:pPr>
              <w:spacing w:after="120" w:before="120" w:line="286" w:lineRule="auto"/>
              <w:ind w:firstLine="0" w:start="0"/>
              <w:jc w:val="center"/>
            </w:pPr>
            <w:r>
              <w:rPr>
                <w:rFonts w:ascii="Nunito Sans Italics" w:hAnsi="Nunito Sans Italics" w:cs="Nunito Sans Italics" w:eastAsia="Nunito Sans Italics"/>
                <w:i/>
                <w:iCs/>
                <w:color w:val="000000"/>
                <w:sz w:val="28"/>
                <w:szCs w:val="28"/>
              </w:rPr>
              <w:t>Aggregate Metering*</w:t>
            </w:r>
            <w:r>
              <w:rPr>
                <w:rFonts w:ascii="Nunito Sans Italics" w:hAnsi="Nunito Sans Italics" w:cs="Nunito Sans Italics" w:eastAsia="Nunito Sans Italics"/>
                <w:i/>
                <w:iCs/>
                <w:color w:val="000000"/>
                <w:sz w:val="28"/>
                <w:szCs w:val="28"/>
              </w:rPr>
              <w:t xml:space="preserve">
</w:t>
            </w:r>
          </w:p>
        </w:tc>
        <w:tc>
          <w:tcPr>
            <w:tcW w:w="6905" w:type="dxa"/>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 xml:space="preserve">Yes: Multiple facilities that share the same essential generating characteristics but are metered separately. </w:t>
            </w:r>
            <w:r>
              <w:rPr>
                <w:rFonts w:ascii="Nunito Sans" w:hAnsi="Nunito Sans" w:cs="Nunito Sans" w:eastAsia="Nunito Sans"/>
                <w:color w:val="000000"/>
                <w:sz w:val="28"/>
                <w:szCs w:val="28"/>
              </w:rPr>
              <w:t xml:space="preserve">
</w:t>
            </w:r>
          </w:p>
          <w:p>
            <w:pPr>
              <w:spacing w:after="120" w:before="120" w:line="286" w:lineRule="auto"/>
              <w:ind w:firstLine="0" w:start="0"/>
              <w:jc w:val="start"/>
            </w:pPr>
            <w:r>
              <w:rPr>
                <w:rFonts w:ascii="Nunito Sans" w:hAnsi="Nunito Sans" w:cs="Nunito Sans" w:eastAsia="Nunito Sans"/>
                <w:color w:val="000000"/>
                <w:sz w:val="28"/>
                <w:szCs w:val="28"/>
              </w:rPr>
              <w:t xml:space="preserve">No: The facilities are metered separately but do not share the same essential generating characteristics. 
</w:t>
            </w:r>
          </w:p>
        </w:tc>
      </w:tr>
      <w:tr>
        <w:tc>
          <w:tcPr>
            <w:tcW w:w="9030" w:type="dxa"/>
            <w:gridSpan w:val="2"/>
            <w:shd w:val="clear" w:color="auto" w:fill="77b2f4"/>
            <w:tcMar>
              <w:top w:w="75"/>
              <w:start w:w="75"/>
              <w:bottom w:w="75"/>
              <w:end w:w="75"/>
            </w:tcMar>
          </w:tcPr>
          <w:p>
            <w:pPr>
              <w:spacing w:after="120" w:before="120" w:line="286" w:lineRule="auto"/>
              <w:ind w:firstLine="0" w:start="0"/>
              <w:jc w:val="center"/>
            </w:pPr>
            <w:r>
              <w:rPr>
                <w:rFonts w:ascii="Nunito Sans Bold Italics" w:hAnsi="Nunito Sans Bold Italics" w:cs="Nunito Sans Bold Italics" w:eastAsia="Nunito Sans Bold Italics"/>
                <w:b/>
                <w:bCs/>
                <w:i/>
                <w:iCs/>
                <w:color w:val="000000"/>
                <w:sz w:val="28"/>
                <w:szCs w:val="28"/>
              </w:rPr>
              <w:t xml:space="preserve">Aggregate Metering Information
</w:t>
            </w:r>
          </w:p>
        </w:tc>
      </w:tr>
      <w:tr>
        <w:tc>
          <w:tcPr>
            <w:tcW w:w="9030" w:type="dxa"/>
            <w:gridSpan w:val="2"/>
            <w:shd w:val="clear" w:color="auto" w:fill="77b2f4"/>
            <w:tcMar>
              <w:top w:w="75"/>
              <w:start w:w="75"/>
              <w:bottom w:w="75"/>
              <w:end w:w="75"/>
            </w:tcMar>
          </w:tcPr>
          <w:p>
            <w:pPr>
              <w:spacing w:after="120" w:before="120" w:line="286" w:lineRule="auto"/>
              <w:ind w:firstLine="0" w:start="0"/>
              <w:jc w:val="center"/>
            </w:pPr>
            <w:r>
              <w:rPr>
                <w:rFonts w:ascii="Nunito Sans Bold Italics" w:hAnsi="Nunito Sans Bold Italics" w:cs="Nunito Sans Bold Italics" w:eastAsia="Nunito Sans Bold Italics"/>
                <w:b/>
                <w:bCs/>
                <w:i/>
                <w:iCs/>
                <w:color w:val="000000"/>
                <w:sz w:val="28"/>
                <w:szCs w:val="28"/>
              </w:rPr>
              <w:t xml:space="preserve">Aggregate Metering: Yes, selected:
</w:t>
            </w:r>
          </w:p>
        </w:tc>
      </w:tr>
      <w:tr>
        <w:tc>
          <w:tcPr>
            <w:tcW w:w="2124" w:type="dxa"/>
            <w:shd w:val="clear" w:color="auto" w:fill="77b2f4"/>
            <w:tcMar>
              <w:top w:w="75"/>
              <w:start w:w="75"/>
              <w:bottom w:w="75"/>
              <w:end w:w="75"/>
            </w:tcMar>
          </w:tcPr>
          <w:p>
            <w:pPr>
              <w:spacing w:after="120" w:before="120" w:line="286" w:lineRule="auto"/>
              <w:ind w:firstLine="0" w:start="0"/>
              <w:jc w:val="center"/>
            </w:pPr>
            <w:r>
              <w:rPr>
                <w:rFonts w:ascii="Nunito Sans Italics" w:hAnsi="Nunito Sans Italics" w:cs="Nunito Sans Italics" w:eastAsia="Nunito Sans Italics"/>
                <w:i/>
                <w:iCs/>
                <w:color w:val="000000"/>
                <w:sz w:val="28"/>
                <w:szCs w:val="28"/>
              </w:rPr>
              <w:t xml:space="preserve">Is this a new group or an addition? : 
</w:t>
            </w:r>
          </w:p>
          <w:p>
            <w:pPr>
              <w:spacing w:after="120" w:before="120" w:line="286" w:lineRule="auto"/>
              <w:ind w:firstLine="0" w:start="0"/>
              <w:jc w:val="center"/>
            </w:pPr>
            <w:r>
              <w:rPr>
                <w:rFonts w:ascii="Nunito Sans" w:hAnsi="Nunito Sans" w:cs="Nunito Sans" w:eastAsia="Nunito Sans"/>
                <w:color w:val="000000"/>
                <w:sz w:val="28"/>
                <w:szCs w:val="28"/>
              </w:rPr>
              <w:t>Create New Group</w:t>
            </w:r>
            <w:r>
              <w:rPr>
                <w:rFonts w:ascii="Nunito Sans Italics" w:hAnsi="Nunito Sans Italics" w:cs="Nunito Sans Italics" w:eastAsia="Nunito Sans Italics"/>
                <w:i/>
                <w:iCs/>
                <w:color w:val="000000"/>
                <w:sz w:val="28"/>
                <w:szCs w:val="28"/>
              </w:rPr>
              <w:t xml:space="preserve"> 
</w:t>
            </w:r>
          </w:p>
        </w:tc>
        <w:tc>
          <w:tcPr>
            <w:tcW w:w="6905" w:type="dxa"/>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 xml:space="preserve">Meter ID: Serial Number or Model Number of the Meter
</w:t>
            </w:r>
          </w:p>
          <w:p>
            <w:pPr>
              <w:spacing w:after="120" w:before="120" w:line="286" w:lineRule="auto"/>
              <w:ind w:firstLine="0" w:start="0"/>
              <w:jc w:val="start"/>
            </w:pPr>
            <w:r>
              <w:rPr>
                <w:rFonts w:ascii="Nunito Sans" w:hAnsi="Nunito Sans" w:cs="Nunito Sans" w:eastAsia="Nunito Sans"/>
                <w:color w:val="000000"/>
                <w:sz w:val="28"/>
                <w:szCs w:val="28"/>
              </w:rPr>
              <w:t>Reporting Unit ID: U</w:t>
            </w:r>
            <w:r>
              <w:rPr>
                <w:rFonts w:ascii="Nunito Sans" w:hAnsi="Nunito Sans" w:cs="Nunito Sans" w:eastAsia="Nunito Sans"/>
                <w:color w:val="000000"/>
                <w:sz w:val="28"/>
                <w:szCs w:val="28"/>
              </w:rPr>
              <w:t xml:space="preserve">ser created identifier. </w:t>
            </w:r>
            <w:r>
              <w:rPr>
                <w:rFonts w:ascii="Nunito Sans" w:hAnsi="Nunito Sans" w:cs="Nunito Sans" w:eastAsia="Nunito Sans"/>
                <w:color w:val="000000"/>
                <w:sz w:val="28"/>
                <w:szCs w:val="28"/>
              </w:rPr>
              <w:t xml:space="preserve">
</w:t>
            </w:r>
          </w:p>
          <w:p>
            <w:pPr>
              <w:spacing w:after="120" w:before="120" w:line="286" w:lineRule="auto"/>
              <w:ind w:firstLine="0" w:start="0"/>
              <w:jc w:val="start"/>
            </w:pPr>
            <w:r>
              <w:rPr>
                <w:rFonts w:ascii="Nunito Sans" w:hAnsi="Nunito Sans" w:cs="Nunito Sans" w:eastAsia="Nunito Sans"/>
                <w:color w:val="000000"/>
                <w:sz w:val="28"/>
                <w:szCs w:val="28"/>
              </w:rPr>
              <w:t xml:space="preserve">Qualified Reporting Entity: </w:t>
            </w:r>
            <w:r>
              <w:rPr>
                <w:rFonts w:ascii="Nunito Sans" w:hAnsi="Nunito Sans" w:cs="Nunito Sans" w:eastAsia="Nunito Sans"/>
                <w:color w:val="000000"/>
                <w:sz w:val="28"/>
                <w:szCs w:val="28"/>
              </w:rPr>
              <w:t>Organization that reports generation data for the aggregate group. (e.g: Self Reporting, QRE, or MISO and SPP).</w:t>
            </w:r>
            <w:r>
              <w:rPr>
                <w:rFonts w:ascii="Nunito Sans" w:hAnsi="Nunito Sans" w:cs="Nunito Sans" w:eastAsia="Nunito Sans"/>
                <w:color w:val="000000"/>
                <w:sz w:val="28"/>
                <w:szCs w:val="28"/>
              </w:rPr>
              <w:t xml:space="preserve">
</w:t>
            </w:r>
          </w:p>
        </w:tc>
      </w:tr>
      <w:tr>
        <w:tc>
          <w:tcPr>
            <w:tcW w:w="2124" w:type="dxa"/>
            <w:shd w:val="clear" w:color="auto" w:fill="77b2f4"/>
            <w:tcMar>
              <w:top w:w="75"/>
              <w:start w:w="75"/>
              <w:bottom w:w="75"/>
              <w:end w:w="75"/>
            </w:tcMar>
          </w:tcPr>
          <w:p>
            <w:pPr>
              <w:spacing w:after="120" w:before="120" w:line="286" w:lineRule="auto"/>
              <w:ind w:firstLine="0" w:start="0"/>
              <w:jc w:val="center"/>
            </w:pPr>
            <w:r>
              <w:rPr>
                <w:rFonts w:ascii="Nunito Sans Italics" w:hAnsi="Nunito Sans Italics" w:cs="Nunito Sans Italics" w:eastAsia="Nunito Sans Italics"/>
                <w:i/>
                <w:iCs/>
                <w:color w:val="000000"/>
                <w:sz w:val="28"/>
                <w:szCs w:val="28"/>
              </w:rPr>
              <w:t xml:space="preserve">Is this a new group or an addition? : 
</w:t>
            </w:r>
          </w:p>
          <w:p>
            <w:pPr>
              <w:spacing w:after="120" w:before="120" w:line="286" w:lineRule="auto"/>
              <w:ind w:firstLine="0" w:start="0"/>
              <w:jc w:val="center"/>
            </w:pPr>
            <w:r>
              <w:rPr>
                <w:rFonts w:ascii="Nunito Sans" w:hAnsi="Nunito Sans" w:cs="Nunito Sans" w:eastAsia="Nunito Sans"/>
                <w:color w:val="000000"/>
                <w:sz w:val="28"/>
                <w:szCs w:val="28"/>
              </w:rPr>
              <w:t>Add to an existing group</w:t>
            </w:r>
            <w:r>
              <w:rPr>
                <w:rFonts w:ascii="Nunito Sans Italics" w:hAnsi="Nunito Sans Italics" w:cs="Nunito Sans Italics" w:eastAsia="Nunito Sans Italics"/>
                <w:i/>
                <w:iCs/>
                <w:color w:val="000000"/>
                <w:sz w:val="28"/>
                <w:szCs w:val="28"/>
              </w:rPr>
              <w:t xml:space="preserve">
</w:t>
            </w:r>
          </w:p>
        </w:tc>
        <w:tc>
          <w:tcPr>
            <w:tcW w:w="6905" w:type="dxa"/>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 xml:space="preserve">Meter ID: Serial Number or Model Number of the Meter
</w:t>
            </w:r>
          </w:p>
          <w:p>
            <w:pPr>
              <w:spacing w:after="120" w:before="120" w:line="286" w:lineRule="auto"/>
              <w:ind w:firstLine="0" w:start="0"/>
              <w:jc w:val="start"/>
            </w:pPr>
            <w:r>
              <w:rPr>
                <w:rFonts w:ascii="Nunito Sans" w:hAnsi="Nunito Sans" w:cs="Nunito Sans" w:eastAsia="Nunito Sans"/>
                <w:color w:val="000000"/>
                <w:sz w:val="28"/>
                <w:szCs w:val="28"/>
              </w:rPr>
              <w:t>Reporting Unit ID: U</w:t>
            </w:r>
            <w:r>
              <w:rPr>
                <w:rFonts w:ascii="Nunito Sans" w:hAnsi="Nunito Sans" w:cs="Nunito Sans" w:eastAsia="Nunito Sans"/>
                <w:color w:val="000000"/>
                <w:sz w:val="28"/>
                <w:szCs w:val="28"/>
              </w:rPr>
              <w:t xml:space="preserve">ser created identifier. </w:t>
            </w:r>
            <w:r>
              <w:rPr>
                <w:rFonts w:ascii="Nunito Sans" w:hAnsi="Nunito Sans" w:cs="Nunito Sans" w:eastAsia="Nunito Sans"/>
                <w:color w:val="000000"/>
                <w:sz w:val="28"/>
                <w:szCs w:val="28"/>
              </w:rPr>
              <w:t xml:space="preserve">
</w:t>
            </w:r>
          </w:p>
        </w:tc>
      </w:tr>
      <w:tr>
        <w:tc>
          <w:tcPr>
            <w:tcW w:w="9030" w:type="dxa"/>
            <w:gridSpan w:val="2"/>
            <w:shd w:val="clear" w:color="auto" w:fill="77b2f4"/>
            <w:tcMar>
              <w:top w:w="75"/>
              <w:start w:w="75"/>
              <w:bottom w:w="75"/>
              <w:end w:w="75"/>
            </w:tcMar>
          </w:tcPr>
          <w:p>
            <w:pPr>
              <w:spacing w:after="120" w:before="120" w:line="286" w:lineRule="auto"/>
              <w:ind w:firstLine="0" w:start="0"/>
              <w:jc w:val="start"/>
            </w:pPr>
            <w:r>
              <w:rPr>
                <w:rFonts w:ascii="Nunito Sans Italics" w:hAnsi="Nunito Sans Italics" w:cs="Nunito Sans Italics" w:eastAsia="Nunito Sans Italics"/>
                <w:i/>
                <w:iCs/>
                <w:color w:val="000000"/>
                <w:sz w:val="28"/>
                <w:szCs w:val="28"/>
              </w:rPr>
              <w:t xml:space="preserve">
</w:t>
            </w:r>
          </w:p>
        </w:tc>
      </w:tr>
      <w:tr>
        <w:tc>
          <w:tcPr>
            <w:tcW w:w="2124" w:type="dxa"/>
            <w:shd w:val="clear" w:color="auto" w:fill="77b2f4"/>
            <w:tcMar>
              <w:top w:w="75"/>
              <w:start w:w="75"/>
              <w:bottom w:w="75"/>
              <w:end w:w="75"/>
            </w:tcMar>
          </w:tcPr>
          <w:p>
            <w:pPr>
              <w:spacing w:after="120" w:before="120" w:line="286" w:lineRule="auto"/>
              <w:ind w:firstLine="0" w:start="0"/>
              <w:jc w:val="center"/>
            </w:pPr>
            <w:r>
              <w:rPr>
                <w:rFonts w:ascii="Nunito Sans Italics" w:hAnsi="Nunito Sans Italics" w:cs="Nunito Sans Italics" w:eastAsia="Nunito Sans Italics"/>
                <w:i/>
                <w:iCs/>
                <w:color w:val="000000"/>
                <w:sz w:val="28"/>
                <w:szCs w:val="28"/>
              </w:rPr>
              <w:t xml:space="preserve">Is this a revenue quality meter? *
</w:t>
            </w:r>
          </w:p>
        </w:tc>
        <w:tc>
          <w:tcPr>
            <w:tcW w:w="6905" w:type="dxa"/>
            <w:tcMar>
              <w:top w:w="75"/>
              <w:start w:w="75"/>
              <w:bottom w:w="75"/>
              <w:end w:w="75"/>
            </w:tcMar>
          </w:tcPr>
          <w:p>
            <w:pPr>
              <w:spacing w:after="120" w:before="120" w:line="286" w:lineRule="auto"/>
              <w:ind w:firstLine="0" w:start="0"/>
              <w:jc w:val="start"/>
            </w:pPr>
            <w:r>
              <w:rPr>
                <w:rFonts w:ascii="Nunito Sans Bold" w:hAnsi="Nunito Sans Bold" w:cs="Nunito Sans Bold" w:eastAsia="Nunito Sans Bold"/>
                <w:b/>
                <w:bCs/>
                <w:color w:val="000000"/>
                <w:sz w:val="28"/>
                <w:szCs w:val="28"/>
              </w:rPr>
              <w:t xml:space="preserve">Yes/No
</w:t>
            </w:r>
          </w:p>
          <w:p>
            <w:pPr>
              <w:spacing w:after="120" w:before="120" w:line="286" w:lineRule="auto"/>
              <w:ind w:firstLine="0" w:start="0"/>
              <w:jc w:val="start"/>
            </w:pPr>
            <w:r>
              <w:rPr>
                <w:rFonts w:ascii="Nunito Sans" w:hAnsi="Nunito Sans" w:cs="Nunito Sans" w:eastAsia="Nunito Sans"/>
                <w:color w:val="000000"/>
                <w:sz w:val="28"/>
                <w:szCs w:val="28"/>
              </w:rPr>
              <w:t xml:space="preserve">Definition: For Generators that are interconnected, a revenue quality meter is any meter used by the reporting control area operator for settlements.The preferred source for the data is a meter data acquisition system. If the control area does not have an electronic source for collecting revenue meter data, then manual meter reads will be accepted.
</w:t>
            </w:r>
          </w:p>
        </w:tc>
      </w:tr>
      <w:tr>
        <w:tc>
          <w:tcPr>
            <w:tcW w:w="2124" w:type="dxa"/>
            <w:shd w:val="clear" w:color="auto" w:fill="77b2f4"/>
            <w:tcMar>
              <w:top w:w="75"/>
              <w:start w:w="75"/>
              <w:bottom w:w="75"/>
              <w:end w:w="75"/>
            </w:tcMar>
          </w:tcPr>
          <w:p>
            <w:pPr>
              <w:spacing w:after="120" w:before="120" w:line="286" w:lineRule="auto"/>
              <w:ind w:firstLine="0" w:start="0"/>
              <w:jc w:val="center"/>
            </w:pPr>
            <w:r>
              <w:rPr>
                <w:rFonts w:ascii="Nunito Sans Italics" w:hAnsi="Nunito Sans Italics" w:cs="Nunito Sans Italics" w:eastAsia="Nunito Sans Italics"/>
                <w:i/>
                <w:iCs/>
                <w:color w:val="000000"/>
                <w:sz w:val="28"/>
                <w:szCs w:val="28"/>
              </w:rPr>
              <w:t xml:space="preserve">Meter ID
</w:t>
            </w:r>
          </w:p>
        </w:tc>
        <w:tc>
          <w:tcPr>
            <w:tcW w:w="6905" w:type="dxa"/>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Serial Number or Model Number of the Meter</w:t>
            </w:r>
            <w:r>
              <w:rPr>
                <w:rFonts w:ascii="Nunito Sans" w:hAnsi="Nunito Sans" w:cs="Nunito Sans" w:eastAsia="Nunito Sans"/>
                <w:color w:val="000000"/>
                <w:sz w:val="28"/>
                <w:szCs w:val="28"/>
              </w:rPr>
              <w:t>.</w:t>
            </w:r>
            <w:r>
              <w:rPr>
                <w:rFonts w:ascii="Nunito Sans" w:hAnsi="Nunito Sans" w:cs="Nunito Sans" w:eastAsia="Nunito Sans"/>
                <w:color w:val="000000"/>
                <w:sz w:val="28"/>
                <w:szCs w:val="28"/>
              </w:rPr>
              <w:t xml:space="preserve">
</w:t>
            </w:r>
          </w:p>
        </w:tc>
      </w:tr>
    </w:tbl>
    <w:p>
      <w:pPr>
        <w:spacing w:after="120" w:before="120" w:line="336" w:lineRule="auto"/>
        <w:ind w:firstLine="0" w:start="0"/>
        <w:jc w:val="start"/>
      </w:pPr>
      <w:r>
        <w:rPr>
          <w:rFonts w:ascii="Nunito Sans" w:hAnsi="Nunito Sans" w:cs="Nunito Sans" w:eastAsia="Nunito Sans"/>
          <w:color w:val="000000"/>
          <w:sz w:val="28"/>
          <w:szCs w:val="28"/>
        </w:rPr>
        <w:t xml:space="preserve">
</w:t>
      </w:r>
    </w:p>
    <w:p>
      <w:pPr>
        <w:spacing w:after="120" w:before="120" w:line="336" w:lineRule="auto"/>
        <w:ind w:firstLine="0" w:start="0"/>
        <w:jc w:val="start"/>
      </w:pPr>
      <w:r>
        <w:rPr>
          <w:rFonts w:ascii="Nunito Sans" w:hAnsi="Nunito Sans" w:cs="Nunito Sans" w:eastAsia="Nunito Sans"/>
          <w:color w:val="000000"/>
          <w:sz w:val="28"/>
          <w:szCs w:val="28"/>
        </w:rPr>
        <w:t xml:space="preserve">
</w:t>
      </w:r>
    </w:p>
    <w:p>
      <w:pPr>
        <w:spacing w:after="120" w:before="120" w:line="336" w:lineRule="auto"/>
        <w:ind w:firstLine="0" w:start="0"/>
        <w:jc w:val="start"/>
      </w:pPr>
      <w:r>
        <w:rPr>
          <w:rFonts w:ascii="Nunito Sans" w:hAnsi="Nunito Sans" w:cs="Nunito Sans" w:eastAsia="Nunito Sans"/>
          <w:color w:val="000000"/>
          <w:sz w:val="28"/>
          <w:szCs w:val="28"/>
        </w:rPr>
        <w:t xml:space="preserve">
</w:t>
      </w:r>
    </w:p>
    <w:p>
      <w:pPr>
        <w:spacing w:after="120" w:before="120" w:line="336" w:lineRule="auto"/>
        <w:ind w:firstLine="0" w:start="0"/>
        <w:jc w:val="start"/>
      </w:pPr>
      <w:r>
        <w:rPr>
          <w:rFonts w:ascii="Nunito Sans" w:hAnsi="Nunito Sans" w:cs="Nunito Sans" w:eastAsia="Nunito Sans"/>
          <w:color w:val="000000"/>
          <w:sz w:val="40"/>
          <w:szCs w:val="40"/>
        </w:rPr>
        <w:t xml:space="preserve">Engineering Tab Continued
</w:t>
      </w:r>
    </w:p>
    <w:tbl>
      <w:tblPr>
        <w:tblW w:w="9030" w:type="dxa"/>
        <w:tblBorders>
          <w:top w:val="single" w:color="000000" w:sz="18"/>
          <w:start w:color="000000" w:sz="18" w:val="single"/>
          <w:left w:val="single"/>
          <w:bottom w:val="single" w:color="000000" w:sz="18"/>
          <w:end w:color="000000" w:sz="18" w:val="single"/>
          <w:right w:val="single"/>
          <w:insideH w:val="single" w:color="000000" w:sz="18"/>
          <w:insideV w:val="single" w:color="000000" w:sz="18"/>
        </w:tblBorders>
      </w:tblPr>
      <w:tblGrid>
        <w:gridCol w:w="2124"/>
        <w:gridCol w:w="6905"/>
      </w:tblGrid>
      <w:tr>
        <w:tc>
          <w:tcPr>
            <w:tcW w:w="9030" w:type="dxa"/>
            <w:gridSpan w:val="2"/>
            <w:shd w:val="clear" w:color="auto" w:fill="d9d9d9"/>
            <w:tcMar>
              <w:top w:w="75"/>
              <w:start w:w="75"/>
              <w:bottom w:w="75"/>
              <w:end w:w="75"/>
            </w:tcMar>
          </w:tcPr>
          <w:p>
            <w:pPr>
              <w:spacing w:after="120" w:before="120" w:line="286" w:lineRule="auto"/>
              <w:ind w:firstLine="0" w:start="0"/>
              <w:jc w:val="center"/>
            </w:pPr>
            <w:r>
              <w:rPr>
                <w:rFonts w:ascii="Nunito Sans Bold Italics" w:hAnsi="Nunito Sans Bold Italics" w:cs="Nunito Sans Bold Italics" w:eastAsia="Nunito Sans Bold Italics"/>
                <w:b/>
                <w:bCs/>
                <w:i/>
                <w:iCs/>
                <w:color w:val="000000"/>
                <w:sz w:val="28"/>
                <w:szCs w:val="28"/>
              </w:rPr>
              <w:t>Engineering</w:t>
            </w:r>
            <w:r>
              <w:rPr>
                <w:rFonts w:ascii="Nunito Sans Bold Italics" w:hAnsi="Nunito Sans Bold Italics" w:cs="Nunito Sans Bold Italics" w:eastAsia="Nunito Sans Bold Italics"/>
                <w:b/>
                <w:bCs/>
                <w:i/>
                <w:iCs/>
                <w:color w:val="000000"/>
                <w:sz w:val="28"/>
                <w:szCs w:val="28"/>
              </w:rPr>
              <w:t xml:space="preserve">
</w:t>
            </w:r>
          </w:p>
        </w:tc>
      </w:tr>
      <w:tr>
        <w:tc>
          <w:tcPr>
            <w:tcW w:w="2124" w:type="dxa"/>
            <w:shd w:val="clear" w:color="auto" w:fill="77b2f4"/>
            <w:tcMar>
              <w:top w:w="75"/>
              <w:start w:w="75"/>
              <w:bottom w:w="75"/>
              <w:end w:w="75"/>
            </w:tcMar>
          </w:tcPr>
          <w:p>
            <w:pPr>
              <w:spacing w:after="120" w:before="120" w:line="286" w:lineRule="auto"/>
              <w:ind w:firstLine="0" w:start="0"/>
              <w:jc w:val="center"/>
            </w:pPr>
            <w:r>
              <w:rPr>
                <w:rFonts w:ascii="Nunito Sans Italics" w:hAnsi="Nunito Sans Italics" w:cs="Nunito Sans Italics" w:eastAsia="Nunito Sans Italics"/>
                <w:i/>
                <w:iCs/>
                <w:color w:val="000000"/>
                <w:sz w:val="28"/>
                <w:szCs w:val="28"/>
              </w:rPr>
              <w:t xml:space="preserve">Commenced Operation Date*
</w:t>
            </w:r>
          </w:p>
        </w:tc>
        <w:tc>
          <w:tcPr>
            <w:tcW w:w="6905" w:type="dxa"/>
            <w:shd w:val="clear" w:color="auto" w:fill="ffffff"/>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 xml:space="preserve">Commercial Operation marks the start of a project's revenue-generating activity, when electricity generated is fed into the grid. It signifies that construction and commissioning of the facility have concluded with minimal nonessential issues, and that the facility is compliant with relevant grid codes and standards, allowing it to be operated safely and as intended. The COD is the date established on the utility assigned Certificate of Completion (COC) that marks the approved date of operations.
</w:t>
            </w:r>
          </w:p>
        </w:tc>
      </w:tr>
      <w:tr>
        <w:tc>
          <w:tcPr>
            <w:tcW w:w="2124" w:type="dxa"/>
            <w:shd w:val="clear" w:color="auto" w:fill="77b2f4"/>
            <w:tcMar>
              <w:top w:w="75"/>
              <w:start w:w="75"/>
              <w:bottom w:w="75"/>
              <w:end w:w="75"/>
            </w:tcMar>
          </w:tcPr>
          <w:p>
            <w:pPr>
              <w:spacing w:after="120" w:before="120" w:line="286" w:lineRule="auto"/>
              <w:ind w:firstLine="0" w:start="0"/>
              <w:jc w:val="center"/>
            </w:pPr>
            <w:r>
              <w:rPr>
                <w:rFonts w:ascii="Nunito Sans Italics" w:hAnsi="Nunito Sans Italics" w:cs="Nunito Sans Italics" w:eastAsia="Nunito Sans Italics"/>
                <w:i/>
                <w:iCs/>
                <w:color w:val="000000"/>
                <w:sz w:val="28"/>
                <w:szCs w:val="28"/>
              </w:rPr>
              <w:t>Nameplate Capacity (MW A/C) *</w:t>
            </w:r>
            <w:r>
              <w:rPr>
                <w:rFonts w:ascii="Nunito Sans Italics" w:hAnsi="Nunito Sans Italics" w:cs="Nunito Sans Italics" w:eastAsia="Nunito Sans Italics"/>
                <w:i/>
                <w:iCs/>
                <w:color w:val="000000"/>
                <w:sz w:val="28"/>
                <w:szCs w:val="28"/>
              </w:rPr>
              <w:t xml:space="preserve">
</w:t>
            </w:r>
          </w:p>
        </w:tc>
        <w:tc>
          <w:tcPr>
            <w:tcW w:w="6905" w:type="dxa"/>
            <w:shd w:val="clear" w:color="auto" w:fill="ffffff"/>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 xml:space="preserve">The maximum rated output of a facility expressed in (MW) A/C.
</w:t>
            </w:r>
          </w:p>
        </w:tc>
      </w:tr>
      <w:tr>
        <w:tc>
          <w:tcPr>
            <w:tcW w:w="2124" w:type="dxa"/>
            <w:shd w:val="clear" w:color="auto" w:fill="77b2f4"/>
            <w:tcMar>
              <w:top w:w="75"/>
              <w:start w:w="75"/>
              <w:bottom w:w="75"/>
              <w:end w:w="75"/>
            </w:tcMar>
          </w:tcPr>
          <w:p>
            <w:pPr>
              <w:spacing w:after="120" w:before="120" w:line="286" w:lineRule="auto"/>
              <w:ind w:firstLine="0" w:start="0"/>
              <w:jc w:val="center"/>
            </w:pPr>
            <w:r>
              <w:rPr>
                <w:rFonts w:ascii="Nunito Sans Italics" w:hAnsi="Nunito Sans Italics" w:cs="Nunito Sans Italics" w:eastAsia="Nunito Sans Italics"/>
                <w:i/>
                <w:iCs/>
                <w:color w:val="000000"/>
                <w:sz w:val="28"/>
                <w:szCs w:val="28"/>
              </w:rPr>
              <w:t>Capacity Factor *</w:t>
            </w:r>
            <w:r>
              <w:rPr>
                <w:rFonts w:ascii="Nunito Sans Italics" w:hAnsi="Nunito Sans Italics" w:cs="Nunito Sans Italics" w:eastAsia="Nunito Sans Italics"/>
                <w:i/>
                <w:iCs/>
                <w:color w:val="000000"/>
                <w:sz w:val="28"/>
                <w:szCs w:val="28"/>
              </w:rPr>
              <w:t xml:space="preserve">
</w:t>
            </w:r>
          </w:p>
        </w:tc>
        <w:tc>
          <w:tcPr>
            <w:tcW w:w="6905" w:type="dxa"/>
            <w:shd w:val="clear" w:color="auto" w:fill="ffffff"/>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 xml:space="preserve">The ratio of the electrical energy produced by a Generating Unit for the period of time considered to the electrical energy that could have been produced at continuous full power operation during the same period.
</w:t>
            </w:r>
          </w:p>
        </w:tc>
      </w:tr>
      <w:tr>
        <w:tc>
          <w:tcPr>
            <w:tcW w:w="2124" w:type="dxa"/>
            <w:shd w:val="clear" w:color="auto" w:fill="77b2f4"/>
            <w:tcMar>
              <w:top w:w="75"/>
              <w:start w:w="75"/>
              <w:bottom w:w="75"/>
              <w:end w:w="75"/>
            </w:tcMar>
          </w:tcPr>
          <w:p>
            <w:pPr>
              <w:spacing w:after="120" w:before="120" w:line="286" w:lineRule="auto"/>
              <w:ind w:firstLine="0" w:start="0"/>
              <w:jc w:val="start"/>
            </w:pPr>
            <w:r>
              <w:rPr>
                <w:rFonts w:ascii="Nunito Sans Italics" w:hAnsi="Nunito Sans Italics" w:cs="Nunito Sans Italics" w:eastAsia="Nunito Sans Italics"/>
                <w:i/>
                <w:iCs/>
                <w:color w:val="000000"/>
                <w:sz w:val="28"/>
                <w:szCs w:val="28"/>
              </w:rPr>
              <w:t xml:space="preserve">Maximum Annual Energy </w:t>
            </w:r>
            <w:r>
              <w:rPr>
                <w:rFonts w:ascii="Nunito Sans Italics" w:hAnsi="Nunito Sans Italics" w:cs="Nunito Sans Italics" w:eastAsia="Nunito Sans Italics"/>
                <w:i/>
                <w:iCs/>
                <w:color w:val="000000"/>
                <w:sz w:val="28"/>
                <w:szCs w:val="28"/>
              </w:rPr>
              <w:t xml:space="preserve">
</w:t>
            </w:r>
          </w:p>
        </w:tc>
        <w:tc>
          <w:tcPr>
            <w:tcW w:w="6905" w:type="dxa"/>
            <w:shd w:val="clear" w:color="auto" w:fill="ffffff"/>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 xml:space="preserve">Maximum annual output in MWh of the facility in 365 days.
</w:t>
            </w:r>
          </w:p>
        </w:tc>
      </w:tr>
      <w:tr>
        <w:tc>
          <w:tcPr>
            <w:tcW w:w="2124" w:type="dxa"/>
            <w:shd w:val="clear" w:color="auto" w:fill="77b2f4"/>
            <w:tcMar>
              <w:top w:w="75"/>
              <w:start w:w="75"/>
              <w:bottom w:w="75"/>
              <w:end w:w="75"/>
            </w:tcMar>
          </w:tcPr>
          <w:p>
            <w:pPr>
              <w:spacing w:after="120" w:before="120" w:line="286" w:lineRule="auto"/>
              <w:ind w:firstLine="0" w:start="0"/>
              <w:jc w:val="start"/>
            </w:pPr>
            <w:r>
              <w:rPr>
                <w:rFonts w:ascii="Nunito Sans Italics" w:hAnsi="Nunito Sans Italics" w:cs="Nunito Sans Italics" w:eastAsia="Nunito Sans Italics"/>
                <w:i/>
                <w:iCs/>
                <w:color w:val="000000"/>
                <w:sz w:val="28"/>
                <w:szCs w:val="28"/>
              </w:rPr>
              <w:t xml:space="preserve">Biomass Net Generation (BTU/kWh)
</w:t>
            </w:r>
          </w:p>
        </w:tc>
        <w:tc>
          <w:tcPr>
            <w:tcW w:w="6905" w:type="dxa"/>
            <w:shd w:val="clear" w:color="auto" w:fill="ffffff"/>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 xml:space="preserve">Heat rate is one measure of the efficiency of a Generator or power plant that converts a fuel into heat and into electricity. The heat rate is the amount of energy used by an electrical Generator or power plant to generate one kilowatt hour (kWh) of electricity. The U.S. Energy Information Administration (EIA) expresses heat rates in British thermal units (Btu) per net kWh generated.
</w:t>
            </w:r>
          </w:p>
        </w:tc>
      </w:tr>
      <w:tr>
        <w:tc>
          <w:tcPr>
            <w:tcW w:w="2124" w:type="dxa"/>
            <w:shd w:val="clear" w:color="auto" w:fill="77b2f4"/>
            <w:tcMar>
              <w:top w:w="75"/>
              <w:start w:w="75"/>
              <w:bottom w:w="75"/>
              <w:end w:w="75"/>
            </w:tcMar>
          </w:tcPr>
          <w:p>
            <w:pPr>
              <w:spacing w:after="120" w:before="120" w:line="286" w:lineRule="auto"/>
              <w:ind w:firstLine="0" w:start="0"/>
              <w:jc w:val="start"/>
            </w:pPr>
            <w:r>
              <w:rPr>
                <w:rFonts w:ascii="Nunito Sans Italics" w:hAnsi="Nunito Sans Italics" w:cs="Nunito Sans Italics" w:eastAsia="Nunito Sans Italics"/>
                <w:i/>
                <w:iCs/>
                <w:color w:val="000000"/>
                <w:sz w:val="28"/>
                <w:szCs w:val="28"/>
              </w:rPr>
              <w:t xml:space="preserve">Repower Date(s)
</w:t>
            </w:r>
          </w:p>
        </w:tc>
        <w:tc>
          <w:tcPr>
            <w:tcW w:w="6905" w:type="dxa"/>
            <w:shd w:val="clear" w:color="auto" w:fill="ffffff"/>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 xml:space="preserve">If a facility is re-powered, the in-service date of the re-powering.
</w:t>
            </w:r>
          </w:p>
        </w:tc>
      </w:tr>
    </w:tbl>
    <w:p>
      <w:pPr>
        <w:spacing w:after="120" w:before="120" w:line="336" w:lineRule="auto"/>
        <w:ind w:firstLine="0" w:start="0"/>
        <w:jc w:val="start"/>
      </w:pPr>
      <w:r>
        <w:rPr>
          <w:rFonts w:ascii="Nunito Sans" w:hAnsi="Nunito Sans" w:cs="Nunito Sans" w:eastAsia="Nunito Sans"/>
          <w:color w:val="000000"/>
          <w:sz w:val="24"/>
          <w:szCs w:val="24"/>
        </w:rPr>
        <w:t xml:space="preserve">
</w:t>
      </w:r>
    </w:p>
    <w:p>
      <w:pPr>
        <w:spacing w:after="120" w:before="120" w:line="336" w:lineRule="auto"/>
        <w:ind w:firstLine="0" w:start="0"/>
        <w:jc w:val="start"/>
      </w:pPr>
      <w:r>
        <w:rPr>
          <w:rFonts w:ascii="Nunito Sans" w:hAnsi="Nunito Sans" w:cs="Nunito Sans" w:eastAsia="Nunito Sans"/>
          <w:color w:val="000000"/>
          <w:sz w:val="40"/>
          <w:szCs w:val="40"/>
        </w:rPr>
        <w:t xml:space="preserve">
</w:t>
      </w:r>
    </w:p>
    <w:p>
      <w:pPr>
        <w:spacing w:after="120" w:before="120" w:line="336" w:lineRule="auto"/>
        <w:ind w:firstLine="0" w:start="0"/>
        <w:jc w:val="start"/>
      </w:pPr>
      <w:r>
        <w:rPr>
          <w:rFonts w:ascii="Nunito Sans" w:hAnsi="Nunito Sans" w:cs="Nunito Sans" w:eastAsia="Nunito Sans"/>
          <w:color w:val="000000"/>
          <w:sz w:val="40"/>
          <w:szCs w:val="40"/>
        </w:rPr>
        <w:t xml:space="preserve">
</w:t>
      </w:r>
    </w:p>
    <w:p>
      <w:pPr>
        <w:spacing w:after="120" w:before="120" w:line="336" w:lineRule="auto"/>
        <w:ind w:firstLine="0" w:start="0"/>
        <w:jc w:val="start"/>
      </w:pPr>
      <w:r>
        <w:rPr>
          <w:rFonts w:ascii="Nunito Sans" w:hAnsi="Nunito Sans" w:cs="Nunito Sans" w:eastAsia="Nunito Sans"/>
          <w:color w:val="000000"/>
          <w:sz w:val="40"/>
          <w:szCs w:val="40"/>
        </w:rPr>
        <w:t xml:space="preserve">
</w:t>
      </w:r>
    </w:p>
    <w:p>
      <w:pPr>
        <w:spacing w:after="120" w:before="120" w:line="336" w:lineRule="auto"/>
        <w:ind w:firstLine="0" w:start="0"/>
        <w:jc w:val="start"/>
      </w:pPr>
      <w:r>
        <w:rPr>
          <w:rFonts w:ascii="Nunito Sans" w:hAnsi="Nunito Sans" w:cs="Nunito Sans" w:eastAsia="Nunito Sans"/>
          <w:color w:val="000000"/>
          <w:sz w:val="40"/>
          <w:szCs w:val="40"/>
        </w:rPr>
        <w:t xml:space="preserve">
</w:t>
      </w:r>
    </w:p>
    <w:p>
      <w:pPr>
        <w:spacing w:after="120" w:before="120" w:line="336" w:lineRule="auto"/>
        <w:ind w:firstLine="0" w:start="0"/>
        <w:jc w:val="start"/>
      </w:pPr>
      <w:r>
        <w:rPr>
          <w:rFonts w:ascii="Nunito Sans" w:hAnsi="Nunito Sans" w:cs="Nunito Sans" w:eastAsia="Nunito Sans"/>
          <w:color w:val="000000"/>
          <w:sz w:val="40"/>
          <w:szCs w:val="40"/>
        </w:rPr>
        <w:t xml:space="preserve">Fuel(s) Tab
</w:t>
      </w:r>
    </w:p>
    <w:tbl>
      <w:tblPr>
        <w:tblW w:w="9030" w:type="dxa"/>
        <w:tblBorders>
          <w:top w:val="single" w:color="000000" w:sz="18"/>
          <w:start w:color="000000" w:sz="18" w:val="single"/>
          <w:left w:val="single"/>
          <w:bottom w:val="single" w:color="000000" w:sz="18"/>
          <w:end w:color="000000" w:sz="18" w:val="single"/>
          <w:right w:val="single"/>
          <w:insideH w:val="single" w:color="000000" w:sz="18"/>
          <w:insideV w:val="single" w:color="000000" w:sz="18"/>
        </w:tblBorders>
      </w:tblPr>
      <w:tblGrid>
        <w:gridCol w:w="1944"/>
        <w:gridCol w:w="7085"/>
      </w:tblGrid>
      <w:tr>
        <w:tc>
          <w:tcPr>
            <w:tcW w:w="9030" w:type="dxa"/>
            <w:gridSpan w:val="2"/>
            <w:shd w:val="clear" w:color="auto" w:fill="d9d9d9"/>
            <w:tcMar>
              <w:top w:w="75"/>
              <w:start w:w="75"/>
              <w:bottom w:w="75"/>
              <w:end w:w="75"/>
            </w:tcMar>
          </w:tcPr>
          <w:p>
            <w:pPr>
              <w:spacing w:after="120" w:before="120" w:line="286" w:lineRule="auto"/>
              <w:ind w:firstLine="0" w:start="0"/>
              <w:jc w:val="center"/>
            </w:pPr>
            <w:r>
              <w:rPr>
                <w:rFonts w:ascii="Nunito Sans Bold Italics" w:hAnsi="Nunito Sans Bold Italics" w:cs="Nunito Sans Bold Italics" w:eastAsia="Nunito Sans Bold Italics"/>
                <w:b/>
                <w:bCs/>
                <w:i/>
                <w:iCs/>
                <w:color w:val="000000"/>
                <w:sz w:val="28"/>
                <w:szCs w:val="28"/>
              </w:rPr>
              <w:t>New Fuel</w:t>
            </w:r>
            <w:r>
              <w:rPr>
                <w:rFonts w:ascii="Nunito Sans Bold Italics" w:hAnsi="Nunito Sans Bold Italics" w:cs="Nunito Sans Bold Italics" w:eastAsia="Nunito Sans Bold Italics"/>
                <w:b/>
                <w:bCs/>
                <w:i/>
                <w:iCs/>
                <w:color w:val="000000"/>
                <w:sz w:val="28"/>
                <w:szCs w:val="28"/>
              </w:rPr>
              <w:t xml:space="preserve">
</w:t>
            </w:r>
          </w:p>
        </w:tc>
      </w:tr>
      <w:tr>
        <w:tc>
          <w:tcPr>
            <w:tcW w:w="1944" w:type="dxa"/>
            <w:vMerge w:val="restart"/>
            <w:shd w:val="clear" w:color="auto" w:fill="77b2f4"/>
            <w:tcMar>
              <w:top w:w="75"/>
              <w:start w:w="75"/>
              <w:bottom w:w="75"/>
              <w:end w:w="75"/>
            </w:tcMar>
          </w:tcPr>
          <w:p>
            <w:pPr>
              <w:spacing w:after="120" w:before="120" w:line="286" w:lineRule="auto"/>
              <w:ind w:firstLine="0" w:start="0"/>
              <w:jc w:val="start"/>
            </w:pPr>
            <w:r>
              <w:rPr>
                <w:rFonts w:ascii="Nunito Sans Italics" w:hAnsi="Nunito Sans Italics" w:cs="Nunito Sans Italics" w:eastAsia="Nunito Sans Italics"/>
                <w:i/>
                <w:iCs/>
                <w:color w:val="000000"/>
                <w:sz w:val="28"/>
                <w:szCs w:val="28"/>
              </w:rPr>
              <w:t>Fuel Type*</w:t>
            </w:r>
            <w:r>
              <w:rPr>
                <w:rFonts w:ascii="Nunito Sans Italics" w:hAnsi="Nunito Sans Italics" w:cs="Nunito Sans Italics" w:eastAsia="Nunito Sans Italics"/>
                <w:i/>
                <w:iCs/>
                <w:color w:val="000000"/>
                <w:sz w:val="28"/>
                <w:szCs w:val="28"/>
              </w:rPr>
              <w:t xml:space="preserve">
</w:t>
            </w:r>
          </w:p>
        </w:tc>
        <w:tc>
          <w:tcPr>
            <w:tcW w:w="7085" w:type="dxa"/>
            <w:vMerge w:val="restart"/>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 xml:space="preserve">The type of fuel or other naturally occurring energy source that the Generating Unit or Generator uses to create electricity.
</w:t>
            </w:r>
          </w:p>
        </w:tc>
      </w:tr>
      <w:tr>
        <w:tc>
          <w:tcPr>
            <w:vMerge w:val="continue"/>
          </w:tcPr>
          <w:p/>
        </w:tc>
        <w:tc>
          <w:tcPr>
            <w:vMerge w:val="continue"/>
          </w:tcPr>
          <w:p/>
        </w:tc>
      </w:tr>
      <w:tr>
        <w:tc>
          <w:tcPr>
            <w:vMerge w:val="continue"/>
          </w:tcPr>
          <w:p/>
        </w:tc>
        <w:tc>
          <w:tcPr>
            <w:vMerge w:val="continue"/>
          </w:tcPr>
          <w:p/>
        </w:tc>
      </w:tr>
      <w:tr>
        <w:tc>
          <w:tcPr>
            <w:tcW w:w="1944" w:type="dxa"/>
            <w:shd w:val="clear" w:color="auto" w:fill="77b2f4"/>
            <w:tcMar>
              <w:top w:w="75"/>
              <w:start w:w="75"/>
              <w:bottom w:w="75"/>
              <w:end w:w="75"/>
            </w:tcMar>
          </w:tcPr>
          <w:p>
            <w:pPr>
              <w:spacing w:after="120" w:before="120" w:line="286" w:lineRule="auto"/>
              <w:ind w:firstLine="0" w:start="0"/>
              <w:jc w:val="start"/>
            </w:pPr>
            <w:r>
              <w:rPr>
                <w:rFonts w:ascii="Nunito Sans Italics" w:hAnsi="Nunito Sans Italics" w:cs="Nunito Sans Italics" w:eastAsia="Nunito Sans Italics"/>
                <w:i/>
                <w:iCs/>
                <w:color w:val="000000"/>
                <w:sz w:val="28"/>
                <w:szCs w:val="28"/>
              </w:rPr>
              <w:t>Fuel Source(s)</w:t>
            </w:r>
            <w:r>
              <w:rPr>
                <w:rFonts w:ascii="Nunito Sans Italics" w:hAnsi="Nunito Sans Italics" w:cs="Nunito Sans Italics" w:eastAsia="Nunito Sans Italics"/>
                <w:i/>
                <w:iCs/>
                <w:color w:val="000000"/>
                <w:sz w:val="28"/>
                <w:szCs w:val="28"/>
              </w:rPr>
              <w:t xml:space="preserve">*
</w:t>
            </w:r>
          </w:p>
        </w:tc>
        <w:tc>
          <w:tcPr>
            <w:tcW w:w="7085" w:type="dxa"/>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 xml:space="preserve">The specific source or origin of the fuel being used at a Generating Unit or Generator. Fuel source will be indicated during Generator registration if the fuel type has more than one potential fuel source and where indication of the fuel source is relevant to eligibility for one or more state or provincial program.
</w:t>
            </w:r>
          </w:p>
        </w:tc>
      </w:tr>
      <w:tr>
        <w:tc>
          <w:tcPr>
            <w:tcW w:w="1944" w:type="dxa"/>
            <w:shd w:val="clear" w:color="auto" w:fill="77b2f4"/>
            <w:tcMar>
              <w:top w:w="75"/>
              <w:start w:w="75"/>
              <w:bottom w:w="75"/>
              <w:end w:w="75"/>
            </w:tcMar>
          </w:tcPr>
          <w:p>
            <w:pPr>
              <w:spacing w:after="120" w:before="120" w:line="286" w:lineRule="auto"/>
              <w:ind w:firstLine="0" w:start="0"/>
              <w:jc w:val="start"/>
            </w:pPr>
            <w:r>
              <w:rPr>
                <w:rFonts w:ascii="Nunito Sans Italics" w:hAnsi="Nunito Sans Italics" w:cs="Nunito Sans Italics" w:eastAsia="Nunito Sans Italics"/>
                <w:i/>
                <w:iCs/>
                <w:color w:val="000000"/>
                <w:sz w:val="28"/>
                <w:szCs w:val="28"/>
              </w:rPr>
              <w:t xml:space="preserve">Label(optional)
</w:t>
            </w:r>
          </w:p>
        </w:tc>
        <w:tc>
          <w:tcPr>
            <w:tcW w:w="7085" w:type="dxa"/>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 xml:space="preserve">An optional label that is applied to the fuel type. 
</w:t>
            </w:r>
          </w:p>
        </w:tc>
      </w:tr>
      <w:tr>
        <w:tc>
          <w:tcPr>
            <w:tcW w:w="1944" w:type="dxa"/>
            <w:shd w:val="clear" w:color="auto" w:fill="77b2f4"/>
            <w:tcMar>
              <w:top w:w="75"/>
              <w:start w:w="75"/>
              <w:bottom w:w="75"/>
              <w:end w:w="75"/>
            </w:tcMar>
          </w:tcPr>
          <w:p>
            <w:pPr>
              <w:spacing w:after="120" w:before="120" w:line="286" w:lineRule="auto"/>
              <w:ind w:firstLine="0" w:start="0"/>
              <w:jc w:val="start"/>
            </w:pPr>
            <w:r>
              <w:rPr>
                <w:rFonts w:ascii="Nunito Sans Italics" w:hAnsi="Nunito Sans Italics" w:cs="Nunito Sans Italics" w:eastAsia="Nunito Sans Italics"/>
                <w:i/>
                <w:iCs/>
                <w:color w:val="000000"/>
                <w:sz w:val="28"/>
                <w:szCs w:val="28"/>
              </w:rPr>
              <w:t xml:space="preserve">Program Eligibility
</w:t>
            </w:r>
          </w:p>
        </w:tc>
        <w:tc>
          <w:tcPr>
            <w:tcW w:w="7085" w:type="dxa"/>
            <w:tcMar>
              <w:top w:w="75"/>
              <w:start w:w="75"/>
              <w:bottom w:w="75"/>
              <w:end w:w="75"/>
            </w:tcMar>
          </w:tcPr>
          <w:p>
            <w:pPr>
              <w:spacing w:after="120" w:before="120" w:line="286" w:lineRule="auto"/>
              <w:ind w:firstLine="0" w:start="0"/>
              <w:jc w:val="start"/>
            </w:pPr>
            <w:r>
              <w:rPr>
                <w:rFonts w:ascii="Nunito Sans" w:hAnsi="Nunito Sans" w:cs="Nunito Sans" w:eastAsia="Nunito Sans"/>
                <w:color w:val="000000"/>
                <w:sz w:val="28"/>
                <w:szCs w:val="28"/>
              </w:rPr>
              <w:t xml:space="preserve">Datapoint available on the generator registration and applied to all issued certificates that allows certificates to be used in compliance or voluntary programs. Voluntary eligibilities can also be applied to generators (Minnesota Habitat Friendly Solar Standard, Ecologo Certified, etc). Eligibilities may require supporting documentation. </w:t>
            </w:r>
            <w:r>
              <w:rPr>
                <w:rFonts w:ascii="Nunito Sans" w:hAnsi="Nunito Sans" w:cs="Nunito Sans" w:eastAsia="Nunito Sans"/>
                <w:color w:val="000000"/>
                <w:sz w:val="28"/>
                <w:szCs w:val="28"/>
              </w:rPr>
              <w:t xml:space="preserve">
</w:t>
            </w:r>
          </w:p>
        </w:tc>
      </w:tr>
    </w:tbl>
    <w:p>
      <w:pPr>
        <w:spacing w:after="120" w:before="120" w:line="336" w:lineRule="auto"/>
        <w:ind w:firstLine="0" w:start="0"/>
        <w:jc w:val="start"/>
      </w:pPr>
      <w:r>
        <w:rPr>
          <w:rFonts w:ascii="Nunito Sans" w:hAnsi="Nunito Sans" w:cs="Nunito Sans" w:eastAsia="Nunito Sans"/>
          <w:color w:val="000000"/>
          <w:sz w:val="40"/>
          <w:szCs w:val="40"/>
        </w:rPr>
        <w:t xml:space="preserve">Documents Tab
</w:t>
      </w:r>
    </w:p>
    <w:p>
      <w:pPr>
        <w:spacing w:after="120" w:before="120" w:line="336" w:lineRule="auto"/>
        <w:ind w:firstLine="0" w:start="0"/>
        <w:jc w:val="start"/>
      </w:pPr>
      <w:r>
        <w:rPr>
          <w:rFonts w:ascii="Nunito Sans" w:hAnsi="Nunito Sans" w:cs="Nunito Sans" w:eastAsia="Nunito Sans"/>
          <w:color w:val="000000"/>
          <w:sz w:val="28"/>
          <w:szCs w:val="28"/>
        </w:rPr>
        <w:t xml:space="preserve">All documents supporting the generator registration should be uploaded here, including but not limited to: 
</w:t>
      </w:r>
    </w:p>
    <w:p>
      <w:pPr>
        <w:numPr>
          <w:ilvl w:val="0"/>
          <w:numId w:val="1"/>
        </w:numPr>
        <w:spacing w:after="0" w:before="0" w:line="336" w:lineRule="auto"/>
        <w:jc w:val="start"/>
      </w:pPr>
      <w:r>
        <w:rPr>
          <w:rFonts w:ascii="Nunito Sans" w:hAnsi="Nunito Sans" w:cs="Nunito Sans" w:eastAsia="Nunito Sans"/>
          <w:color w:val="000000"/>
          <w:sz w:val="28"/>
          <w:szCs w:val="28"/>
        </w:rPr>
        <w:t>Schedule A</w:t>
      </w:r>
      <w:r>
        <w:rPr>
          <w:rFonts w:ascii="Nunito Sans" w:hAnsi="Nunito Sans" w:cs="Nunito Sans" w:eastAsia="Nunito Sans"/>
          <w:color w:val="000000"/>
          <w:sz w:val="28"/>
          <w:szCs w:val="28"/>
        </w:rPr>
        <w:t xml:space="preserve">
</w:t>
      </w:r>
    </w:p>
    <w:p>
      <w:pPr>
        <w:numPr>
          <w:ilvl w:val="0"/>
          <w:numId w:val="1"/>
        </w:numPr>
        <w:spacing w:after="0" w:before="0" w:line="336" w:lineRule="auto"/>
        <w:jc w:val="start"/>
      </w:pPr>
      <w:r>
        <w:rPr>
          <w:rFonts w:ascii="Nunito Sans" w:hAnsi="Nunito Sans" w:cs="Nunito Sans" w:eastAsia="Nunito Sans"/>
          <w:color w:val="000000"/>
          <w:sz w:val="28"/>
          <w:szCs w:val="28"/>
        </w:rPr>
        <w:t xml:space="preserve">Power Purchase Agreement (PPA)
</w:t>
      </w:r>
    </w:p>
    <w:p>
      <w:pPr>
        <w:numPr>
          <w:ilvl w:val="0"/>
          <w:numId w:val="1"/>
        </w:numPr>
        <w:spacing w:after="0" w:before="0" w:line="336" w:lineRule="auto"/>
        <w:jc w:val="start"/>
      </w:pPr>
      <w:r>
        <w:rPr>
          <w:rFonts w:ascii="Nunito Sans" w:hAnsi="Nunito Sans" w:cs="Nunito Sans" w:eastAsia="Nunito Sans"/>
          <w:color w:val="000000"/>
          <w:sz w:val="28"/>
          <w:szCs w:val="28"/>
        </w:rPr>
        <w:t xml:space="preserve">Interconnection Agreement (IA)
</w:t>
      </w:r>
    </w:p>
    <w:p>
      <w:pPr>
        <w:numPr>
          <w:ilvl w:val="0"/>
          <w:numId w:val="1"/>
        </w:numPr>
        <w:spacing w:after="0" w:before="0" w:line="336" w:lineRule="auto"/>
        <w:jc w:val="start"/>
      </w:pPr>
      <w:r>
        <w:rPr>
          <w:rFonts w:ascii="Nunito Sans" w:hAnsi="Nunito Sans" w:cs="Nunito Sans" w:eastAsia="Nunito Sans"/>
          <w:color w:val="000000"/>
          <w:sz w:val="28"/>
          <w:szCs w:val="28"/>
        </w:rPr>
        <w:t xml:space="preserve">Program Eligibility Documentation 
</w:t>
      </w:r>
    </w:p>
    <w:p>
      <w:pPr>
        <w:numPr>
          <w:ilvl w:val="0"/>
          <w:numId w:val="1"/>
        </w:numPr>
        <w:spacing w:after="0" w:before="0" w:line="336" w:lineRule="auto"/>
        <w:jc w:val="start"/>
      </w:pPr>
      <w:r>
        <w:rPr>
          <w:rFonts w:ascii="Nunito Sans" w:hAnsi="Nunito Sans" w:cs="Nunito Sans" w:eastAsia="Nunito Sans"/>
          <w:color w:val="000000"/>
          <w:sz w:val="28"/>
          <w:szCs w:val="28"/>
        </w:rPr>
        <w:t xml:space="preserve">Air Permits 
</w:t>
      </w:r>
    </w:p>
    <w:p>
      <w:pPr>
        <w:numPr>
          <w:ilvl w:val="0"/>
          <w:numId w:val="1"/>
        </w:numPr>
        <w:spacing w:after="0" w:before="0" w:line="336" w:lineRule="auto"/>
        <w:jc w:val="start"/>
      </w:pPr>
      <w:r>
        <w:rPr>
          <w:rFonts w:ascii="Nunito Sans" w:hAnsi="Nunito Sans" w:cs="Nunito Sans" w:eastAsia="Nunito Sans"/>
          <w:color w:val="000000"/>
          <w:sz w:val="28"/>
          <w:szCs w:val="28"/>
        </w:rPr>
        <w:t xml:space="preserve">Regulatory Orders 
</w:t>
      </w:r>
    </w:p>
    <w:p>
      <w:pPr>
        <w:numPr>
          <w:ilvl w:val="0"/>
          <w:numId w:val="1"/>
        </w:numPr>
        <w:spacing w:after="0" w:before="0" w:line="336" w:lineRule="auto"/>
        <w:jc w:val="start"/>
      </w:pPr>
      <w:r>
        <w:rPr>
          <w:rFonts w:ascii="Nunito Sans" w:hAnsi="Nunito Sans" w:cs="Nunito Sans" w:eastAsia="Nunito Sans"/>
          <w:color w:val="000000"/>
          <w:sz w:val="28"/>
          <w:szCs w:val="28"/>
        </w:rPr>
        <w:t xml:space="preserve">FERC or PURPA Qualifying Facility Documentation
</w:t>
      </w:r>
    </w:p>
    <w:p>
      <w:pPr>
        <w:numPr>
          <w:ilvl w:val="0"/>
          <w:numId w:val="1"/>
        </w:numPr>
        <w:spacing w:after="0" w:before="0" w:line="336" w:lineRule="auto"/>
        <w:jc w:val="start"/>
      </w:pPr>
      <w:r>
        <w:rPr>
          <w:rFonts w:ascii="Nunito Sans" w:hAnsi="Nunito Sans" w:cs="Nunito Sans" w:eastAsia="Nunito Sans"/>
          <w:color w:val="000000"/>
          <w:sz w:val="28"/>
          <w:szCs w:val="28"/>
        </w:rPr>
        <w:t xml:space="preserve">MISO or SPP Data Release
</w:t>
      </w:r>
    </w:p>
    <w:p>
      <w:pPr>
        <w:numPr>
          <w:ilvl w:val="0"/>
          <w:numId w:val="1"/>
        </w:numPr>
        <w:spacing w:after="0" w:before="0" w:line="336" w:lineRule="auto"/>
        <w:jc w:val="start"/>
      </w:pPr>
      <w:r>
        <w:rPr>
          <w:rFonts w:ascii="Nunito Sans" w:hAnsi="Nunito Sans" w:cs="Nunito Sans" w:eastAsia="Nunito Sans"/>
          <w:color w:val="000000"/>
          <w:sz w:val="28"/>
          <w:szCs w:val="28"/>
        </w:rPr>
        <w:t xml:space="preserve">Design Documentation
</w:t>
      </w:r>
    </w:p>
    <w:p>
      <w:pPr>
        <w:spacing w:after="120" w:before="120" w:line="336" w:lineRule="auto"/>
        <w:ind w:firstLine="0" w:start="0"/>
        <w:jc w:val="start"/>
      </w:pPr>
      <w:r>
        <w:rPr>
          <w:rFonts w:ascii="Nunito Sans" w:hAnsi="Nunito Sans" w:cs="Nunito Sans" w:eastAsia="Nunito Sans"/>
          <w:color w:val="000000"/>
          <w:sz w:val="28"/>
          <w:szCs w:val="28"/>
        </w:rPr>
        <w:t xml:space="preserve">
</w:t>
      </w:r>
    </w:p>
    <w:p>
      <w:pPr>
        <w:spacing w:after="120" w:before="120" w:line="336" w:lineRule="auto"/>
        <w:ind w:firstLine="0" w:start="0"/>
        <w:jc w:val="start"/>
      </w:pPr>
      <w:r>
        <w:rPr>
          <w:rFonts w:ascii="Nunito Sans" w:hAnsi="Nunito Sans" w:cs="Nunito Sans" w:eastAsia="Nunito Sans"/>
          <w:color w:val="000000"/>
          <w:sz w:val="24"/>
          <w:szCs w:val="24"/>
        </w:rPr>
        <w:t xml:space="preserve">
</w:t>
      </w:r>
    </w:p>
    <w:p>
      <w:pPr>
        <w:spacing w:after="120" w:before="120" w:line="278" w:lineRule="auto"/>
        <w:ind w:firstLine="0" w:start="0"/>
        <w:jc w:val="start"/>
      </w:pPr>
      <w:r>
        <w:rPr>
          <w:rFonts w:ascii="Arimo" w:hAnsi="Arimo" w:cs="Arimo" w:eastAsia="Arimo"/>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Italics">
    <w:panose1 w:val="020B0604020202090204"/>
    <w:charset w:characterSet="1"/>
    <w:embedItalic r:id="rId1"/>
  </w:font>
  <w:font w:name="Arimo Bold">
    <w:panose1 w:val="020B0704020202020204"/>
    <w:charset w:characterSet="1"/>
    <w:embedBold r:id="rId2"/>
  </w:font>
  <w:font w:name="Arimo">
    <w:panose1 w:val="020B0604020202020204"/>
    <w:charset w:characterSet="1"/>
    <w:embedRegular r:id="rId3"/>
  </w:font>
  <w:font w:name="Arimo Bold Italics">
    <w:panose1 w:val="020B0704020202090204"/>
    <w:charset w:characterSet="1"/>
    <w:embedBoldItalic r:id="rId4"/>
  </w:font>
  <w:font w:name="Nunito Sans Extra-Light">
    <w:panose1 w:val="00000000000000000000"/>
    <w:charset w:characterSet="1"/>
    <w:embedRegular r:id="rId5"/>
  </w:font>
  <w:font w:name="Nunito Sans Ultra-Bold Italics">
    <w:panose1 w:val="00000000000000000000"/>
    <w:charset w:characterSet="1"/>
    <w:embedBoldItalic r:id="rId6"/>
  </w:font>
  <w:font w:name="Nunito Sans Ultra-Bold">
    <w:panose1 w:val="00000000000000000000"/>
    <w:charset w:characterSet="1"/>
    <w:embedBold r:id="rId7"/>
  </w:font>
  <w:font w:name="Nunito Sans Heavy">
    <w:panose1 w:val="00000000000000000000"/>
    <w:charset w:characterSet="1"/>
    <w:embedBold r:id="rId8"/>
  </w:font>
  <w:font w:name="Nunito Sans Light Italics">
    <w:panose1 w:val="00000000000000000000"/>
    <w:charset w:characterSet="1"/>
    <w:embedItalic r:id="rId9"/>
  </w:font>
  <w:font w:name="Nunito Sans Light">
    <w:panose1 w:val="00000000000000000000"/>
    <w:charset w:characterSet="1"/>
    <w:embedRegular r:id="rId10"/>
  </w:font>
  <w:font w:name="Nunito Sans Semi-Bold">
    <w:panose1 w:val="00000000000000000000"/>
    <w:charset w:characterSet="1"/>
    <w:embedBold r:id="rId11"/>
  </w:font>
  <w:font w:name="Nunito Sans Heavy Italics">
    <w:panose1 w:val="00000000000000000000"/>
    <w:charset w:characterSet="1"/>
    <w:embedBoldItalic r:id="rId12"/>
  </w:font>
  <w:font w:name="Nunito Sans">
    <w:panose1 w:val="00000000000000000000"/>
    <w:charset w:characterSet="1"/>
    <w:embedRegular r:id="rId13"/>
  </w:font>
  <w:font w:name="Nunito Sans Bold">
    <w:panose1 w:val="00000000000000000000"/>
    <w:charset w:characterSet="1"/>
    <w:embedBold r:id="rId14"/>
  </w:font>
  <w:font w:name="Nunito Sans Medium">
    <w:panose1 w:val="00000000000000000000"/>
    <w:charset w:characterSet="1"/>
    <w:embedBold r:id="rId15"/>
  </w:font>
  <w:font w:name="Nunito Sans Italics">
    <w:panose1 w:val="00000000000000000000"/>
    <w:charset w:characterSet="1"/>
    <w:embedItalic r:id="rId16"/>
  </w:font>
  <w:font w:name="Nunito Sans Extra-Light Italics">
    <w:panose1 w:val="00000000000000000000"/>
    <w:charset w:characterSet="1"/>
    <w:embedItalic r:id="rId17"/>
  </w:font>
  <w:font w:name="Nunito Sans Semi-Bold Italics">
    <w:panose1 w:val="00000000000000000000"/>
    <w:charset w:characterSet="1"/>
    <w:embedBoldItalic r:id="rId18"/>
  </w:font>
  <w:font w:name="Nunito Sans Medium Italics">
    <w:panose1 w:val="00000000000000000000"/>
    <w:charset w:characterSet="1"/>
    <w:embedBoldItalic r:id="rId19"/>
  </w:font>
  <w:font w:name="Nunito Sans Bold Italics">
    <w:panose1 w:val="00000000000000000000"/>
    <w:charset w:characterSet="1"/>
    <w:embedBoldItalic r:id="rId20"/>
  </w:font>
</w:fonts>
</file>

<file path=word/numbering.xml><?xml version="1.0" encoding="utf-8"?>
<w:numbering xmlns:w="http://schemas.openxmlformats.org/wordprocessingml/2006/main">
  <w:abstractNum w:abstractNumId="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num w:numId="1">
    <w:abstractNumId w:val="1"/>
  </w:num>
</w:numbering>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 Id="rId4" Target="https://www.eia.gov/electricity/data/eia860m/" TargetMode="External" Type="http://schemas.openxmlformats.org/officeDocument/2006/relationships/hyperlink"/><Relationship Id="rId5" Target="https://www.ferc.gov/qf" TargetMode="External" Type="http://schemas.openxmlformats.org/officeDocument/2006/relationships/hyperlink"/><Relationship Id="rId6" Target="numbering.xml" Type="http://schemas.openxmlformats.org/officeDocument/2006/relationships/numbering"/></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11" Target="fonts/font11.odttf" Type="http://schemas.openxmlformats.org/officeDocument/2006/relationships/font"/><Relationship Id="rId12" Target="fonts/font12.odttf" Type="http://schemas.openxmlformats.org/officeDocument/2006/relationships/font"/><Relationship Id="rId13" Target="fonts/font13.odttf" Type="http://schemas.openxmlformats.org/officeDocument/2006/relationships/font"/><Relationship Id="rId14" Target="fonts/font14.odttf" Type="http://schemas.openxmlformats.org/officeDocument/2006/relationships/font"/><Relationship Id="rId15" Target="fonts/font15.odttf" Type="http://schemas.openxmlformats.org/officeDocument/2006/relationships/font"/><Relationship Id="rId16" Target="fonts/font16.odttf" Type="http://schemas.openxmlformats.org/officeDocument/2006/relationships/font"/><Relationship Id="rId17" Target="fonts/font17.odttf" Type="http://schemas.openxmlformats.org/officeDocument/2006/relationships/font"/><Relationship Id="rId18" Target="fonts/font18.odttf" Type="http://schemas.openxmlformats.org/officeDocument/2006/relationships/font"/><Relationship Id="rId19" Target="fonts/font19.odttf" Type="http://schemas.openxmlformats.org/officeDocument/2006/relationships/font"/><Relationship Id="rId2" Target="fonts/font2.odttf" Type="http://schemas.openxmlformats.org/officeDocument/2006/relationships/font"/><Relationship Id="rId20" Target="fonts/font20.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2024-12-19T15:18:44Z</dcterms:created>
  <dc:creator>Apache POI</dc:creator>
</cp:coreProperties>
</file>